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47468694"/>
        <w:docPartObj>
          <w:docPartGallery w:val="Table of Contents"/>
          <w:docPartUnique/>
        </w:docPartObj>
      </w:sdtPr>
      <w:sdtContent>
        <w:p w14:paraId="334D88F3">
          <w:pPr>
            <w:pStyle w:val="54"/>
          </w:pPr>
          <w:bookmarkStart w:id="59" w:name="_GoBack"/>
          <w:bookmarkEnd w:id="59"/>
          <w:r>
            <w:rPr>
              <w:rFonts w:hint="eastAsia"/>
            </w:rPr>
            <w:t>目录</w:t>
          </w:r>
        </w:p>
        <w:p w14:paraId="5B26F58D">
          <w:pPr>
            <w:pStyle w:val="17"/>
            <w:tabs>
              <w:tab w:val="right" w:leader="dot" w:pos="8640"/>
            </w:tabs>
          </w:pPr>
          <w:r>
            <w:fldChar w:fldCharType="begin"/>
          </w:r>
          <w:r>
            <w:instrText xml:space="preserve">TOC \o "1-3" \h \z \u</w:instrText>
          </w:r>
          <w:r>
            <w:fldChar w:fldCharType="separate"/>
          </w:r>
          <w:r>
            <w:fldChar w:fldCharType="begin"/>
          </w:r>
          <w:r>
            <w:instrText xml:space="preserve"> HYPERLINK \l _Toc8969 </w:instrText>
          </w:r>
          <w:r>
            <w:fldChar w:fldCharType="separate"/>
          </w:r>
          <w:r>
            <w:rPr>
              <w:rFonts w:hint="eastAsia"/>
            </w:rPr>
            <w:t>知客管理端使用手册</w:t>
          </w:r>
          <w:r>
            <w:tab/>
          </w:r>
          <w:r>
            <w:fldChar w:fldCharType="begin"/>
          </w:r>
          <w:r>
            <w:instrText xml:space="preserve"> PAGEREF _Toc8969 \h </w:instrText>
          </w:r>
          <w:r>
            <w:fldChar w:fldCharType="separate"/>
          </w:r>
          <w:r>
            <w:t>2</w:t>
          </w:r>
          <w:r>
            <w:fldChar w:fldCharType="end"/>
          </w:r>
          <w:r>
            <w:fldChar w:fldCharType="end"/>
          </w:r>
        </w:p>
        <w:p w14:paraId="376CBF14">
          <w:pPr>
            <w:pStyle w:val="20"/>
            <w:tabs>
              <w:tab w:val="right" w:leader="dot" w:pos="8640"/>
            </w:tabs>
          </w:pPr>
          <w:r>
            <w:fldChar w:fldCharType="begin"/>
          </w:r>
          <w:r>
            <w:instrText xml:space="preserve"> HYPERLINK \l _Toc10935 </w:instrText>
          </w:r>
          <w:r>
            <w:fldChar w:fldCharType="separate"/>
          </w:r>
          <w:r>
            <w:rPr>
              <w:rFonts w:hint="eastAsia"/>
            </w:rPr>
            <w:t>一、使用指南</w:t>
          </w:r>
          <w:r>
            <w:tab/>
          </w:r>
          <w:r>
            <w:fldChar w:fldCharType="begin"/>
          </w:r>
          <w:r>
            <w:instrText xml:space="preserve"> PAGEREF _Toc10935 \h </w:instrText>
          </w:r>
          <w:r>
            <w:fldChar w:fldCharType="separate"/>
          </w:r>
          <w:r>
            <w:t>2</w:t>
          </w:r>
          <w:r>
            <w:fldChar w:fldCharType="end"/>
          </w:r>
          <w:r>
            <w:fldChar w:fldCharType="end"/>
          </w:r>
        </w:p>
        <w:p w14:paraId="23251F85">
          <w:pPr>
            <w:pStyle w:val="20"/>
            <w:tabs>
              <w:tab w:val="right" w:leader="dot" w:pos="8640"/>
            </w:tabs>
          </w:pPr>
          <w:r>
            <w:fldChar w:fldCharType="begin"/>
          </w:r>
          <w:r>
            <w:instrText xml:space="preserve"> HYPERLINK \l _Toc24395 </w:instrText>
          </w:r>
          <w:r>
            <w:fldChar w:fldCharType="separate"/>
          </w:r>
          <w:r>
            <w:rPr>
              <w:rFonts w:hint="eastAsia"/>
            </w:rPr>
            <w:t>二、公告管理</w:t>
          </w:r>
          <w:r>
            <w:tab/>
          </w:r>
          <w:r>
            <w:fldChar w:fldCharType="begin"/>
          </w:r>
          <w:r>
            <w:instrText xml:space="preserve"> PAGEREF _Toc24395 \h </w:instrText>
          </w:r>
          <w:r>
            <w:fldChar w:fldCharType="separate"/>
          </w:r>
          <w:r>
            <w:t>2</w:t>
          </w:r>
          <w:r>
            <w:fldChar w:fldCharType="end"/>
          </w:r>
          <w:r>
            <w:fldChar w:fldCharType="end"/>
          </w:r>
        </w:p>
        <w:p w14:paraId="320F68AB">
          <w:pPr>
            <w:pStyle w:val="14"/>
            <w:tabs>
              <w:tab w:val="right" w:leader="dot" w:pos="8640"/>
            </w:tabs>
          </w:pPr>
          <w:r>
            <w:fldChar w:fldCharType="begin"/>
          </w:r>
          <w:r>
            <w:instrText xml:space="preserve"> HYPERLINK \l _Toc22885 </w:instrText>
          </w:r>
          <w:r>
            <w:fldChar w:fldCharType="separate"/>
          </w:r>
          <w:r>
            <w:t xml:space="preserve">1. </w:t>
          </w:r>
          <w:r>
            <w:rPr>
              <w:rFonts w:hint="eastAsia"/>
            </w:rPr>
            <w:t>公告概述</w:t>
          </w:r>
          <w:r>
            <w:tab/>
          </w:r>
          <w:r>
            <w:fldChar w:fldCharType="begin"/>
          </w:r>
          <w:r>
            <w:instrText xml:space="preserve"> PAGEREF _Toc22885 \h </w:instrText>
          </w:r>
          <w:r>
            <w:fldChar w:fldCharType="separate"/>
          </w:r>
          <w:r>
            <w:t>2</w:t>
          </w:r>
          <w:r>
            <w:fldChar w:fldCharType="end"/>
          </w:r>
          <w:r>
            <w:fldChar w:fldCharType="end"/>
          </w:r>
        </w:p>
        <w:p w14:paraId="3E50E81D">
          <w:pPr>
            <w:pStyle w:val="14"/>
            <w:tabs>
              <w:tab w:val="right" w:leader="dot" w:pos="8640"/>
            </w:tabs>
          </w:pPr>
          <w:r>
            <w:fldChar w:fldCharType="begin"/>
          </w:r>
          <w:r>
            <w:instrText xml:space="preserve"> HYPERLINK \l _Toc29580 </w:instrText>
          </w:r>
          <w:r>
            <w:fldChar w:fldCharType="separate"/>
          </w:r>
          <w:r>
            <w:t xml:space="preserve">2. </w:t>
          </w:r>
          <w:r>
            <w:rPr>
              <w:rFonts w:hint="eastAsia"/>
            </w:rPr>
            <w:t>发布公告</w:t>
          </w:r>
          <w:r>
            <w:tab/>
          </w:r>
          <w:r>
            <w:fldChar w:fldCharType="begin"/>
          </w:r>
          <w:r>
            <w:instrText xml:space="preserve"> PAGEREF _Toc29580 \h </w:instrText>
          </w:r>
          <w:r>
            <w:fldChar w:fldCharType="separate"/>
          </w:r>
          <w:r>
            <w:t>2</w:t>
          </w:r>
          <w:r>
            <w:fldChar w:fldCharType="end"/>
          </w:r>
          <w:r>
            <w:fldChar w:fldCharType="end"/>
          </w:r>
        </w:p>
        <w:p w14:paraId="4852F07E">
          <w:pPr>
            <w:pStyle w:val="14"/>
            <w:tabs>
              <w:tab w:val="right" w:leader="dot" w:pos="8640"/>
            </w:tabs>
          </w:pPr>
          <w:r>
            <w:fldChar w:fldCharType="begin"/>
          </w:r>
          <w:r>
            <w:instrText xml:space="preserve"> HYPERLINK \l _Toc23522 </w:instrText>
          </w:r>
          <w:r>
            <w:fldChar w:fldCharType="separate"/>
          </w:r>
          <w:r>
            <w:t xml:space="preserve">3. </w:t>
          </w:r>
          <w:r>
            <w:rPr>
              <w:rFonts w:hint="eastAsia"/>
            </w:rPr>
            <w:t>公告审核</w:t>
          </w:r>
          <w:r>
            <w:tab/>
          </w:r>
          <w:r>
            <w:fldChar w:fldCharType="begin"/>
          </w:r>
          <w:r>
            <w:instrText xml:space="preserve"> PAGEREF _Toc23522 \h </w:instrText>
          </w:r>
          <w:r>
            <w:fldChar w:fldCharType="separate"/>
          </w:r>
          <w:r>
            <w:t>3</w:t>
          </w:r>
          <w:r>
            <w:fldChar w:fldCharType="end"/>
          </w:r>
          <w:r>
            <w:fldChar w:fldCharType="end"/>
          </w:r>
        </w:p>
        <w:p w14:paraId="7A01FC4B">
          <w:pPr>
            <w:pStyle w:val="14"/>
            <w:tabs>
              <w:tab w:val="right" w:leader="dot" w:pos="8640"/>
            </w:tabs>
          </w:pPr>
          <w:r>
            <w:fldChar w:fldCharType="begin"/>
          </w:r>
          <w:r>
            <w:instrText xml:space="preserve"> HYPERLINK \l _Toc19945 </w:instrText>
          </w:r>
          <w:r>
            <w:fldChar w:fldCharType="separate"/>
          </w:r>
          <w:r>
            <w:t xml:space="preserve">4. </w:t>
          </w:r>
          <w:r>
            <w:rPr>
              <w:rFonts w:hint="eastAsia"/>
            </w:rPr>
            <w:t>公告查看</w:t>
          </w:r>
          <w:r>
            <w:tab/>
          </w:r>
          <w:r>
            <w:fldChar w:fldCharType="begin"/>
          </w:r>
          <w:r>
            <w:instrText xml:space="preserve"> PAGEREF _Toc19945 \h </w:instrText>
          </w:r>
          <w:r>
            <w:fldChar w:fldCharType="separate"/>
          </w:r>
          <w:r>
            <w:t>4</w:t>
          </w:r>
          <w:r>
            <w:fldChar w:fldCharType="end"/>
          </w:r>
          <w:r>
            <w:fldChar w:fldCharType="end"/>
          </w:r>
        </w:p>
        <w:p w14:paraId="16E455BF">
          <w:pPr>
            <w:pStyle w:val="14"/>
            <w:tabs>
              <w:tab w:val="right" w:leader="dot" w:pos="8640"/>
            </w:tabs>
          </w:pPr>
          <w:r>
            <w:fldChar w:fldCharType="begin"/>
          </w:r>
          <w:r>
            <w:instrText xml:space="preserve"> HYPERLINK \l _Toc18539 </w:instrText>
          </w:r>
          <w:r>
            <w:fldChar w:fldCharType="separate"/>
          </w:r>
          <w:r>
            <w:t xml:space="preserve">5. </w:t>
          </w:r>
          <w:r>
            <w:rPr>
              <w:rFonts w:hint="eastAsia"/>
            </w:rPr>
            <w:t>公告修改及下架</w:t>
          </w:r>
          <w:r>
            <w:tab/>
          </w:r>
          <w:r>
            <w:fldChar w:fldCharType="begin"/>
          </w:r>
          <w:r>
            <w:instrText xml:space="preserve"> PAGEREF _Toc18539 \h </w:instrText>
          </w:r>
          <w:r>
            <w:fldChar w:fldCharType="separate"/>
          </w:r>
          <w:r>
            <w:t>4</w:t>
          </w:r>
          <w:r>
            <w:fldChar w:fldCharType="end"/>
          </w:r>
          <w:r>
            <w:fldChar w:fldCharType="end"/>
          </w:r>
        </w:p>
        <w:p w14:paraId="4FEBD5B9">
          <w:pPr>
            <w:pStyle w:val="20"/>
            <w:tabs>
              <w:tab w:val="right" w:leader="dot" w:pos="8640"/>
            </w:tabs>
          </w:pPr>
          <w:r>
            <w:fldChar w:fldCharType="begin"/>
          </w:r>
          <w:r>
            <w:instrText xml:space="preserve"> HYPERLINK \l _Toc12820 </w:instrText>
          </w:r>
          <w:r>
            <w:fldChar w:fldCharType="separate"/>
          </w:r>
          <w:r>
            <w:rPr>
              <w:rFonts w:hint="eastAsia"/>
            </w:rPr>
            <w:t>三、素材管理</w:t>
          </w:r>
          <w:r>
            <w:tab/>
          </w:r>
          <w:r>
            <w:fldChar w:fldCharType="begin"/>
          </w:r>
          <w:r>
            <w:instrText xml:space="preserve"> PAGEREF _Toc12820 \h </w:instrText>
          </w:r>
          <w:r>
            <w:fldChar w:fldCharType="separate"/>
          </w:r>
          <w:r>
            <w:t>5</w:t>
          </w:r>
          <w:r>
            <w:fldChar w:fldCharType="end"/>
          </w:r>
          <w:r>
            <w:fldChar w:fldCharType="end"/>
          </w:r>
        </w:p>
        <w:p w14:paraId="1C812059">
          <w:pPr>
            <w:pStyle w:val="14"/>
            <w:tabs>
              <w:tab w:val="right" w:leader="dot" w:pos="8640"/>
            </w:tabs>
          </w:pPr>
          <w:r>
            <w:fldChar w:fldCharType="begin"/>
          </w:r>
          <w:r>
            <w:instrText xml:space="preserve"> HYPERLINK \l _Toc18621 </w:instrText>
          </w:r>
          <w:r>
            <w:fldChar w:fldCharType="separate"/>
          </w:r>
          <w:r>
            <w:t xml:space="preserve">1. </w:t>
          </w:r>
          <w:r>
            <w:rPr>
              <w:rFonts w:hint="eastAsia"/>
            </w:rPr>
            <w:t>名片素材</w:t>
          </w:r>
          <w:r>
            <w:tab/>
          </w:r>
          <w:r>
            <w:fldChar w:fldCharType="begin"/>
          </w:r>
          <w:r>
            <w:instrText xml:space="preserve"> PAGEREF _Toc18621 \h </w:instrText>
          </w:r>
          <w:r>
            <w:fldChar w:fldCharType="separate"/>
          </w:r>
          <w:r>
            <w:t>5</w:t>
          </w:r>
          <w:r>
            <w:fldChar w:fldCharType="end"/>
          </w:r>
          <w:r>
            <w:fldChar w:fldCharType="end"/>
          </w:r>
        </w:p>
        <w:p w14:paraId="0C18F3C6">
          <w:pPr>
            <w:pStyle w:val="14"/>
            <w:tabs>
              <w:tab w:val="right" w:leader="dot" w:pos="8640"/>
            </w:tabs>
          </w:pPr>
          <w:r>
            <w:fldChar w:fldCharType="begin"/>
          </w:r>
          <w:r>
            <w:instrText xml:space="preserve"> HYPERLINK \l _Toc11329 </w:instrText>
          </w:r>
          <w:r>
            <w:fldChar w:fldCharType="separate"/>
          </w:r>
          <w:r>
            <w:t xml:space="preserve">2. </w:t>
          </w:r>
          <w:r>
            <w:rPr>
              <w:rFonts w:hint="eastAsia"/>
            </w:rPr>
            <w:t>营销海报</w:t>
          </w:r>
          <w:r>
            <w:tab/>
          </w:r>
          <w:r>
            <w:fldChar w:fldCharType="begin"/>
          </w:r>
          <w:r>
            <w:instrText xml:space="preserve"> PAGEREF _Toc11329 \h </w:instrText>
          </w:r>
          <w:r>
            <w:fldChar w:fldCharType="separate"/>
          </w:r>
          <w:r>
            <w:t>5</w:t>
          </w:r>
          <w:r>
            <w:fldChar w:fldCharType="end"/>
          </w:r>
          <w:r>
            <w:fldChar w:fldCharType="end"/>
          </w:r>
        </w:p>
        <w:p w14:paraId="5AB2D635">
          <w:pPr>
            <w:pStyle w:val="20"/>
            <w:tabs>
              <w:tab w:val="right" w:leader="dot" w:pos="8640"/>
            </w:tabs>
          </w:pPr>
          <w:r>
            <w:fldChar w:fldCharType="begin"/>
          </w:r>
          <w:r>
            <w:instrText xml:space="preserve"> HYPERLINK \l _Toc25580 </w:instrText>
          </w:r>
          <w:r>
            <w:fldChar w:fldCharType="separate"/>
          </w:r>
          <w:r>
            <w:rPr>
              <w:rFonts w:hint="eastAsia"/>
            </w:rPr>
            <w:t>四、用户管理</w:t>
          </w:r>
          <w:r>
            <w:tab/>
          </w:r>
          <w:r>
            <w:fldChar w:fldCharType="begin"/>
          </w:r>
          <w:r>
            <w:instrText xml:space="preserve"> PAGEREF _Toc25580 \h </w:instrText>
          </w:r>
          <w:r>
            <w:fldChar w:fldCharType="separate"/>
          </w:r>
          <w:r>
            <w:t>6</w:t>
          </w:r>
          <w:r>
            <w:fldChar w:fldCharType="end"/>
          </w:r>
          <w:r>
            <w:fldChar w:fldCharType="end"/>
          </w:r>
        </w:p>
        <w:p w14:paraId="65670FE0">
          <w:pPr>
            <w:pStyle w:val="14"/>
            <w:tabs>
              <w:tab w:val="right" w:leader="dot" w:pos="8640"/>
            </w:tabs>
          </w:pPr>
          <w:r>
            <w:fldChar w:fldCharType="begin"/>
          </w:r>
          <w:r>
            <w:instrText xml:space="preserve"> HYPERLINK \l _Toc19516 </w:instrText>
          </w:r>
          <w:r>
            <w:fldChar w:fldCharType="separate"/>
          </w:r>
          <w:r>
            <w:t xml:space="preserve">1. </w:t>
          </w:r>
          <w:r>
            <w:rPr>
              <w:rFonts w:hint="eastAsia"/>
            </w:rPr>
            <w:t>用户查看</w:t>
          </w:r>
          <w:r>
            <w:tab/>
          </w:r>
          <w:r>
            <w:fldChar w:fldCharType="begin"/>
          </w:r>
          <w:r>
            <w:instrText xml:space="preserve"> PAGEREF _Toc19516 \h </w:instrText>
          </w:r>
          <w:r>
            <w:fldChar w:fldCharType="separate"/>
          </w:r>
          <w:r>
            <w:t>6</w:t>
          </w:r>
          <w:r>
            <w:fldChar w:fldCharType="end"/>
          </w:r>
          <w:r>
            <w:fldChar w:fldCharType="end"/>
          </w:r>
        </w:p>
        <w:p w14:paraId="49153550">
          <w:pPr>
            <w:pStyle w:val="14"/>
            <w:tabs>
              <w:tab w:val="right" w:leader="dot" w:pos="8640"/>
            </w:tabs>
          </w:pPr>
          <w:r>
            <w:fldChar w:fldCharType="begin"/>
          </w:r>
          <w:r>
            <w:instrText xml:space="preserve"> HYPERLINK \l _Toc902 </w:instrText>
          </w:r>
          <w:r>
            <w:fldChar w:fldCharType="separate"/>
          </w:r>
          <w:r>
            <w:t xml:space="preserve">2. </w:t>
          </w:r>
          <w:r>
            <w:rPr>
              <w:rFonts w:hint="eastAsia"/>
            </w:rPr>
            <w:t>用户修改</w:t>
          </w:r>
          <w:r>
            <w:tab/>
          </w:r>
          <w:r>
            <w:fldChar w:fldCharType="begin"/>
          </w:r>
          <w:r>
            <w:instrText xml:space="preserve"> PAGEREF _Toc902 \h </w:instrText>
          </w:r>
          <w:r>
            <w:fldChar w:fldCharType="separate"/>
          </w:r>
          <w:r>
            <w:t>7</w:t>
          </w:r>
          <w:r>
            <w:fldChar w:fldCharType="end"/>
          </w:r>
          <w:r>
            <w:fldChar w:fldCharType="end"/>
          </w:r>
        </w:p>
        <w:p w14:paraId="2D878901">
          <w:pPr>
            <w:pStyle w:val="20"/>
            <w:tabs>
              <w:tab w:val="right" w:leader="dot" w:pos="8640"/>
            </w:tabs>
          </w:pPr>
          <w:r>
            <w:fldChar w:fldCharType="begin"/>
          </w:r>
          <w:r>
            <w:instrText xml:space="preserve"> HYPERLINK \l _Toc29288 </w:instrText>
          </w:r>
          <w:r>
            <w:fldChar w:fldCharType="separate"/>
          </w:r>
          <w:r>
            <w:rPr>
              <w:rFonts w:hint="eastAsia"/>
            </w:rPr>
            <w:t>五、消息规则管理</w:t>
          </w:r>
          <w:r>
            <w:tab/>
          </w:r>
          <w:r>
            <w:fldChar w:fldCharType="begin"/>
          </w:r>
          <w:r>
            <w:instrText xml:space="preserve"> PAGEREF _Toc29288 \h </w:instrText>
          </w:r>
          <w:r>
            <w:fldChar w:fldCharType="separate"/>
          </w:r>
          <w:r>
            <w:t>10</w:t>
          </w:r>
          <w:r>
            <w:fldChar w:fldCharType="end"/>
          </w:r>
          <w:r>
            <w:fldChar w:fldCharType="end"/>
          </w:r>
        </w:p>
        <w:p w14:paraId="07BB6BB5">
          <w:pPr>
            <w:pStyle w:val="20"/>
            <w:tabs>
              <w:tab w:val="right" w:leader="dot" w:pos="8640"/>
            </w:tabs>
          </w:pPr>
          <w:r>
            <w:fldChar w:fldCharType="begin"/>
          </w:r>
          <w:r>
            <w:instrText xml:space="preserve"> HYPERLINK \l _Toc30513 </w:instrText>
          </w:r>
          <w:r>
            <w:fldChar w:fldCharType="separate"/>
          </w:r>
          <w:r>
            <w:rPr>
              <w:rFonts w:hint="eastAsia"/>
            </w:rPr>
            <w:t>六、权限管理</w:t>
          </w:r>
          <w:r>
            <w:tab/>
          </w:r>
          <w:r>
            <w:fldChar w:fldCharType="begin"/>
          </w:r>
          <w:r>
            <w:instrText xml:space="preserve"> PAGEREF _Toc30513 \h </w:instrText>
          </w:r>
          <w:r>
            <w:fldChar w:fldCharType="separate"/>
          </w:r>
          <w:r>
            <w:t>10</w:t>
          </w:r>
          <w:r>
            <w:fldChar w:fldCharType="end"/>
          </w:r>
          <w:r>
            <w:fldChar w:fldCharType="end"/>
          </w:r>
        </w:p>
        <w:p w14:paraId="060493A7">
          <w:pPr>
            <w:pStyle w:val="14"/>
            <w:tabs>
              <w:tab w:val="right" w:leader="dot" w:pos="8640"/>
            </w:tabs>
          </w:pPr>
          <w:r>
            <w:fldChar w:fldCharType="begin"/>
          </w:r>
          <w:r>
            <w:instrText xml:space="preserve"> HYPERLINK \l _Toc1400 </w:instrText>
          </w:r>
          <w:r>
            <w:fldChar w:fldCharType="separate"/>
          </w:r>
          <w:r>
            <w:t xml:space="preserve">1. </w:t>
          </w:r>
          <w:r>
            <w:rPr>
              <w:rFonts w:hint="eastAsia"/>
            </w:rPr>
            <w:t>页面资源管理</w:t>
          </w:r>
          <w:r>
            <w:tab/>
          </w:r>
          <w:r>
            <w:fldChar w:fldCharType="begin"/>
          </w:r>
          <w:r>
            <w:instrText xml:space="preserve"> PAGEREF _Toc1400 \h </w:instrText>
          </w:r>
          <w:r>
            <w:fldChar w:fldCharType="separate"/>
          </w:r>
          <w:r>
            <w:t>10</w:t>
          </w:r>
          <w:r>
            <w:fldChar w:fldCharType="end"/>
          </w:r>
          <w:r>
            <w:fldChar w:fldCharType="end"/>
          </w:r>
        </w:p>
        <w:p w14:paraId="3346C24C">
          <w:pPr>
            <w:pStyle w:val="14"/>
            <w:tabs>
              <w:tab w:val="right" w:leader="dot" w:pos="8640"/>
            </w:tabs>
          </w:pPr>
          <w:r>
            <w:fldChar w:fldCharType="begin"/>
          </w:r>
          <w:r>
            <w:instrText xml:space="preserve"> HYPERLINK \l _Toc4590 </w:instrText>
          </w:r>
          <w:r>
            <w:fldChar w:fldCharType="separate"/>
          </w:r>
          <w:r>
            <w:t xml:space="preserve">2. </w:t>
          </w:r>
          <w:r>
            <w:rPr>
              <w:rFonts w:hint="eastAsia"/>
            </w:rPr>
            <w:t>页面角色管理</w:t>
          </w:r>
          <w:r>
            <w:tab/>
          </w:r>
          <w:r>
            <w:fldChar w:fldCharType="begin"/>
          </w:r>
          <w:r>
            <w:instrText xml:space="preserve"> PAGEREF _Toc4590 \h </w:instrText>
          </w:r>
          <w:r>
            <w:fldChar w:fldCharType="separate"/>
          </w:r>
          <w:r>
            <w:t>11</w:t>
          </w:r>
          <w:r>
            <w:fldChar w:fldCharType="end"/>
          </w:r>
          <w:r>
            <w:fldChar w:fldCharType="end"/>
          </w:r>
        </w:p>
        <w:p w14:paraId="57469815">
          <w:pPr>
            <w:pStyle w:val="14"/>
            <w:tabs>
              <w:tab w:val="right" w:leader="dot" w:pos="8640"/>
            </w:tabs>
          </w:pPr>
          <w:r>
            <w:fldChar w:fldCharType="begin"/>
          </w:r>
          <w:r>
            <w:instrText xml:space="preserve"> HYPERLINK \l _Toc24347 </w:instrText>
          </w:r>
          <w:r>
            <w:fldChar w:fldCharType="separate"/>
          </w:r>
          <w:r>
            <w:t xml:space="preserve">3. </w:t>
          </w:r>
          <w:r>
            <w:rPr>
              <w:rFonts w:hint="eastAsia"/>
            </w:rPr>
            <w:t>版本信息管理</w:t>
          </w:r>
          <w:r>
            <w:tab/>
          </w:r>
          <w:r>
            <w:fldChar w:fldCharType="begin"/>
          </w:r>
          <w:r>
            <w:instrText xml:space="preserve"> PAGEREF _Toc24347 \h </w:instrText>
          </w:r>
          <w:r>
            <w:fldChar w:fldCharType="separate"/>
          </w:r>
          <w:r>
            <w:t>15</w:t>
          </w:r>
          <w:r>
            <w:fldChar w:fldCharType="end"/>
          </w:r>
          <w:r>
            <w:fldChar w:fldCharType="end"/>
          </w:r>
        </w:p>
        <w:p w14:paraId="2024580F">
          <w:pPr>
            <w:pStyle w:val="20"/>
            <w:tabs>
              <w:tab w:val="right" w:leader="dot" w:pos="8640"/>
            </w:tabs>
          </w:pPr>
          <w:r>
            <w:fldChar w:fldCharType="begin"/>
          </w:r>
          <w:r>
            <w:instrText xml:space="preserve"> HYPERLINK \l _Toc5786 </w:instrText>
          </w:r>
          <w:r>
            <w:fldChar w:fldCharType="separate"/>
          </w:r>
          <w:r>
            <w:rPr>
              <w:rFonts w:hint="eastAsia"/>
            </w:rPr>
            <w:t>七、配置管理</w:t>
          </w:r>
          <w:r>
            <w:tab/>
          </w:r>
          <w:r>
            <w:fldChar w:fldCharType="begin"/>
          </w:r>
          <w:r>
            <w:instrText xml:space="preserve"> PAGEREF _Toc5786 \h </w:instrText>
          </w:r>
          <w:r>
            <w:fldChar w:fldCharType="separate"/>
          </w:r>
          <w:r>
            <w:t>16</w:t>
          </w:r>
          <w:r>
            <w:fldChar w:fldCharType="end"/>
          </w:r>
          <w:r>
            <w:fldChar w:fldCharType="end"/>
          </w:r>
        </w:p>
        <w:p w14:paraId="051A2B7B">
          <w:pPr>
            <w:pStyle w:val="14"/>
            <w:tabs>
              <w:tab w:val="right" w:leader="dot" w:pos="8640"/>
            </w:tabs>
          </w:pPr>
          <w:r>
            <w:fldChar w:fldCharType="begin"/>
          </w:r>
          <w:r>
            <w:instrText xml:space="preserve"> HYPERLINK \l _Toc28411 </w:instrText>
          </w:r>
          <w:r>
            <w:fldChar w:fldCharType="separate"/>
          </w:r>
          <w:r>
            <w:rPr>
              <w:rFonts w:hint="eastAsia"/>
            </w:rPr>
            <w:t>配置项分类详细说明</w:t>
          </w:r>
          <w:r>
            <w:tab/>
          </w:r>
          <w:r>
            <w:fldChar w:fldCharType="begin"/>
          </w:r>
          <w:r>
            <w:instrText xml:space="preserve"> PAGEREF _Toc28411 \h </w:instrText>
          </w:r>
          <w:r>
            <w:fldChar w:fldCharType="separate"/>
          </w:r>
          <w:r>
            <w:t>18</w:t>
          </w:r>
          <w:r>
            <w:fldChar w:fldCharType="end"/>
          </w:r>
          <w:r>
            <w:fldChar w:fldCharType="end"/>
          </w:r>
        </w:p>
        <w:p w14:paraId="4C03E8CF">
          <w:pPr>
            <w:pStyle w:val="20"/>
            <w:tabs>
              <w:tab w:val="right" w:leader="dot" w:pos="8640"/>
            </w:tabs>
          </w:pPr>
          <w:r>
            <w:fldChar w:fldCharType="begin"/>
          </w:r>
          <w:r>
            <w:instrText xml:space="preserve"> HYPERLINK \l _Toc5487 </w:instrText>
          </w:r>
          <w:r>
            <w:fldChar w:fldCharType="separate"/>
          </w:r>
          <w:r>
            <w:rPr>
              <w:rFonts w:hint="eastAsia"/>
            </w:rPr>
            <w:t>八、系统指派配置</w:t>
          </w:r>
          <w:r>
            <w:tab/>
          </w:r>
          <w:r>
            <w:fldChar w:fldCharType="begin"/>
          </w:r>
          <w:r>
            <w:instrText xml:space="preserve"> PAGEREF _Toc5487 \h </w:instrText>
          </w:r>
          <w:r>
            <w:fldChar w:fldCharType="separate"/>
          </w:r>
          <w:r>
            <w:t>21</w:t>
          </w:r>
          <w:r>
            <w:fldChar w:fldCharType="end"/>
          </w:r>
          <w:r>
            <w:fldChar w:fldCharType="end"/>
          </w:r>
        </w:p>
        <w:p w14:paraId="4D556D16">
          <w:pPr>
            <w:pStyle w:val="20"/>
            <w:tabs>
              <w:tab w:val="right" w:leader="dot" w:pos="8640"/>
            </w:tabs>
          </w:pPr>
          <w:r>
            <w:fldChar w:fldCharType="begin"/>
          </w:r>
          <w:r>
            <w:instrText xml:space="preserve"> HYPERLINK \l _Toc20155 </w:instrText>
          </w:r>
          <w:r>
            <w:fldChar w:fldCharType="separate"/>
          </w:r>
          <w:r>
            <w:rPr>
              <w:rFonts w:hint="eastAsia"/>
            </w:rPr>
            <w:t>九、消息订阅管理</w:t>
          </w:r>
          <w:r>
            <w:tab/>
          </w:r>
          <w:r>
            <w:fldChar w:fldCharType="begin"/>
          </w:r>
          <w:r>
            <w:instrText xml:space="preserve"> PAGEREF _Toc20155 \h </w:instrText>
          </w:r>
          <w:r>
            <w:fldChar w:fldCharType="separate"/>
          </w:r>
          <w:r>
            <w:t>21</w:t>
          </w:r>
          <w:r>
            <w:fldChar w:fldCharType="end"/>
          </w:r>
          <w:r>
            <w:fldChar w:fldCharType="end"/>
          </w:r>
        </w:p>
        <w:p w14:paraId="12BD5B41">
          <w:pPr>
            <w:pStyle w:val="14"/>
            <w:tabs>
              <w:tab w:val="right" w:leader="dot" w:pos="8640"/>
            </w:tabs>
          </w:pPr>
          <w:r>
            <w:fldChar w:fldCharType="begin"/>
          </w:r>
          <w:r>
            <w:instrText xml:space="preserve"> HYPERLINK \l _Toc10895 </w:instrText>
          </w:r>
          <w:r>
            <w:fldChar w:fldCharType="separate"/>
          </w:r>
          <w:r>
            <w:rPr>
              <w:rFonts w:hint="eastAsia"/>
            </w:rPr>
            <w:t>单消息类型批量设置</w:t>
          </w:r>
          <w:r>
            <w:tab/>
          </w:r>
          <w:r>
            <w:fldChar w:fldCharType="begin"/>
          </w:r>
          <w:r>
            <w:instrText xml:space="preserve"> PAGEREF _Toc10895 \h </w:instrText>
          </w:r>
          <w:r>
            <w:fldChar w:fldCharType="separate"/>
          </w:r>
          <w:r>
            <w:t>22</w:t>
          </w:r>
          <w:r>
            <w:fldChar w:fldCharType="end"/>
          </w:r>
          <w:r>
            <w:fldChar w:fldCharType="end"/>
          </w:r>
        </w:p>
        <w:p w14:paraId="090A2ECB">
          <w:pPr>
            <w:pStyle w:val="20"/>
            <w:tabs>
              <w:tab w:val="right" w:leader="dot" w:pos="8640"/>
            </w:tabs>
          </w:pPr>
          <w:r>
            <w:fldChar w:fldCharType="begin"/>
          </w:r>
          <w:r>
            <w:instrText xml:space="preserve"> HYPERLINK \l _Toc5848 </w:instrText>
          </w:r>
          <w:r>
            <w:fldChar w:fldCharType="separate"/>
          </w:r>
          <w:r>
            <w:rPr>
              <w:rFonts w:hint="eastAsia"/>
            </w:rPr>
            <w:t>十、隐私协议管理</w:t>
          </w:r>
          <w:r>
            <w:tab/>
          </w:r>
          <w:r>
            <w:fldChar w:fldCharType="begin"/>
          </w:r>
          <w:r>
            <w:instrText xml:space="preserve"> PAGEREF _Toc5848 \h </w:instrText>
          </w:r>
          <w:r>
            <w:fldChar w:fldCharType="separate"/>
          </w:r>
          <w:r>
            <w:t>23</w:t>
          </w:r>
          <w:r>
            <w:fldChar w:fldCharType="end"/>
          </w:r>
          <w:r>
            <w:fldChar w:fldCharType="end"/>
          </w:r>
        </w:p>
        <w:p w14:paraId="23FCBC2C">
          <w:pPr>
            <w:pStyle w:val="20"/>
            <w:tabs>
              <w:tab w:val="right" w:leader="dot" w:pos="8640"/>
            </w:tabs>
          </w:pPr>
          <w:r>
            <w:fldChar w:fldCharType="begin"/>
          </w:r>
          <w:r>
            <w:instrText xml:space="preserve"> HYPERLINK \l _Toc19935 </w:instrText>
          </w:r>
          <w:r>
            <w:fldChar w:fldCharType="separate"/>
          </w:r>
          <w:r>
            <w:rPr>
              <w:rFonts w:hint="eastAsia"/>
            </w:rPr>
            <w:t>十一、消息订阅黑名单管理</w:t>
          </w:r>
          <w:r>
            <w:tab/>
          </w:r>
          <w:r>
            <w:fldChar w:fldCharType="begin"/>
          </w:r>
          <w:r>
            <w:instrText xml:space="preserve"> PAGEREF _Toc19935 \h </w:instrText>
          </w:r>
          <w:r>
            <w:fldChar w:fldCharType="separate"/>
          </w:r>
          <w:r>
            <w:t>24</w:t>
          </w:r>
          <w:r>
            <w:fldChar w:fldCharType="end"/>
          </w:r>
          <w:r>
            <w:fldChar w:fldCharType="end"/>
          </w:r>
        </w:p>
        <w:p w14:paraId="742AB4A7">
          <w:pPr>
            <w:pStyle w:val="20"/>
            <w:tabs>
              <w:tab w:val="right" w:leader="dot" w:pos="8640"/>
            </w:tabs>
          </w:pPr>
          <w:r>
            <w:fldChar w:fldCharType="begin"/>
          </w:r>
          <w:r>
            <w:instrText xml:space="preserve"> HYPERLINK \l _Toc918 </w:instrText>
          </w:r>
          <w:r>
            <w:fldChar w:fldCharType="separate"/>
          </w:r>
          <w:r>
            <w:rPr>
              <w:rFonts w:hint="eastAsia"/>
            </w:rPr>
            <w:t>十二、知客用户活跃度</w:t>
          </w:r>
          <w:r>
            <w:tab/>
          </w:r>
          <w:r>
            <w:fldChar w:fldCharType="begin"/>
          </w:r>
          <w:r>
            <w:instrText xml:space="preserve"> PAGEREF _Toc918 \h </w:instrText>
          </w:r>
          <w:r>
            <w:fldChar w:fldCharType="separate"/>
          </w:r>
          <w:r>
            <w:t>25</w:t>
          </w:r>
          <w:r>
            <w:fldChar w:fldCharType="end"/>
          </w:r>
          <w:r>
            <w:fldChar w:fldCharType="end"/>
          </w:r>
        </w:p>
        <w:p w14:paraId="0C9256DB">
          <w:r>
            <w:fldChar w:fldCharType="end"/>
          </w:r>
        </w:p>
      </w:sdtContent>
    </w:sdt>
    <w:p w14:paraId="11253CE9">
      <w:pPr>
        <w:pStyle w:val="2"/>
      </w:pPr>
      <w:bookmarkStart w:id="0" w:name="_Toc8969"/>
      <w:bookmarkStart w:id="1" w:name="知客管理端使用手册"/>
      <w:r>
        <w:rPr>
          <w:rFonts w:hint="eastAsia"/>
        </w:rPr>
        <w:t>知客管理端使用手册</w:t>
      </w:r>
      <w:bookmarkEnd w:id="0"/>
    </w:p>
    <w:p w14:paraId="529AD3AA">
      <w:pPr>
        <w:pStyle w:val="4"/>
      </w:pPr>
      <w:bookmarkStart w:id="2" w:name="_Toc10935"/>
      <w:bookmarkStart w:id="3" w:name="一使用指南"/>
      <w:r>
        <w:rPr>
          <w:rFonts w:hint="eastAsia"/>
        </w:rPr>
        <w:t>一、使用指南</w:t>
      </w:r>
      <w:bookmarkEnd w:id="2"/>
    </w:p>
    <w:p w14:paraId="57E2279E">
      <w:pPr>
        <w:pStyle w:val="26"/>
      </w:pPr>
      <w:r>
        <w:rPr>
          <w:rFonts w:hint="eastAsia"/>
        </w:rPr>
        <w:t>本文档是针对知客小程序后台管理人员使用；</w:t>
      </w:r>
    </w:p>
    <w:p w14:paraId="07D69DED">
      <w:pPr>
        <w:pStyle w:val="3"/>
      </w:pPr>
      <w:r>
        <w:rPr>
          <w:rFonts w:hint="eastAsia"/>
        </w:rPr>
        <w:t>本文档中的配图，来源于知客模拟系统数据，仅做功能说明使用，并不包含真实生产环境的敏感客户数据。</w:t>
      </w:r>
    </w:p>
    <w:p w14:paraId="0F534369">
      <w:pPr>
        <w:pStyle w:val="13"/>
      </w:pPr>
      <w:r>
        <w:rPr>
          <w:rFonts w:hint="eastAsia"/>
          <w:b/>
          <w:bCs/>
        </w:rPr>
        <w:t>说明</w:t>
      </w:r>
    </w:p>
    <w:p w14:paraId="273100FA">
      <w:pPr>
        <w:pStyle w:val="13"/>
      </w:pPr>
      <w:r>
        <w:rPr>
          <w:rFonts w:hint="eastAsia"/>
        </w:rPr>
        <w:t>实际交付期货公司的，数据源来自与德索CRM系统，为期货公司的每日最新的生产数据。</w:t>
      </w:r>
    </w:p>
    <w:p w14:paraId="69A00B80">
      <w:pPr>
        <w:pStyle w:val="26"/>
      </w:pPr>
      <w:r>
        <w:rPr>
          <w:rFonts w:hint="eastAsia"/>
        </w:rPr>
        <w:t>本文档会随着知客功能的拓展而更新,当前对应版本为V1.9.6。</w:t>
      </w:r>
    </w:p>
    <w:bookmarkEnd w:id="3"/>
    <w:p w14:paraId="51F26A3D">
      <w:pPr>
        <w:pStyle w:val="4"/>
      </w:pPr>
      <w:bookmarkStart w:id="4" w:name="_Toc24395"/>
      <w:bookmarkStart w:id="5" w:name="二公告管理"/>
      <w:r>
        <w:rPr>
          <w:rFonts w:hint="eastAsia"/>
        </w:rPr>
        <w:t>二、公告管理</w:t>
      </w:r>
      <w:bookmarkEnd w:id="4"/>
    </w:p>
    <w:p w14:paraId="21341ADF">
      <w:pPr>
        <w:pStyle w:val="5"/>
      </w:pPr>
      <w:bookmarkStart w:id="6" w:name="_Toc22885"/>
      <w:bookmarkStart w:id="7" w:name="公告概述"/>
      <w:r>
        <w:t xml:space="preserve">1. </w:t>
      </w:r>
      <w:r>
        <w:rPr>
          <w:rFonts w:hint="eastAsia"/>
        </w:rPr>
        <w:t>公告概述</w:t>
      </w:r>
      <w:bookmarkEnd w:id="6"/>
    </w:p>
    <w:p w14:paraId="775F4ABE">
      <w:pPr>
        <w:pStyle w:val="26"/>
      </w:pPr>
      <w:r>
        <w:rPr>
          <w:rFonts w:hint="eastAsia"/>
        </w:rPr>
        <w:t>在知客小程序[消息]功能中，期货公司后台管理人员可以发布公告，供知客小程序使用者快速了解和自身相关的公告信息。</w:t>
      </w:r>
    </w:p>
    <w:p w14:paraId="264E41D0">
      <w:pPr>
        <w:pStyle w:val="3"/>
      </w:pPr>
    </w:p>
    <w:bookmarkEnd w:id="7"/>
    <w:p w14:paraId="6032C18D">
      <w:pPr>
        <w:pStyle w:val="5"/>
      </w:pPr>
      <w:bookmarkStart w:id="8" w:name="_Toc29580"/>
      <w:bookmarkStart w:id="9" w:name="发布公告"/>
      <w:r>
        <w:t xml:space="preserve">2. </w:t>
      </w:r>
      <w:r>
        <w:rPr>
          <w:rFonts w:hint="eastAsia"/>
        </w:rPr>
        <w:t>发布公告</w:t>
      </w:r>
      <w:bookmarkEnd w:id="8"/>
    </w:p>
    <w:p w14:paraId="53A729A6">
      <w:pPr>
        <w:pStyle w:val="26"/>
      </w:pPr>
      <w:r>
        <w:rPr>
          <w:rFonts w:hint="eastAsia"/>
        </w:rPr>
        <w:t>在管理后台中，点击公告管理-发布公告，即可调出发布公告界面,支持富文本编辑。</w:t>
      </w:r>
    </w:p>
    <w:p w14:paraId="35418C9E">
      <w:pPr>
        <w:pStyle w:val="3"/>
      </w:pPr>
      <w:r>
        <w:drawing>
          <wp:inline distT="0" distB="0" distL="114300" distR="114300">
            <wp:extent cx="5334000" cy="3548380"/>
            <wp:effectExtent l="0" t="0" r="0" b="0"/>
            <wp:docPr id="2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descr="descript"/>
                    <pic:cNvPicPr>
                      <a:picLocks noChangeAspect="1" noChangeArrowheads="1"/>
                    </pic:cNvPicPr>
                  </pic:nvPicPr>
                  <pic:blipFill>
                    <a:blip r:embed="rId5"/>
                    <a:stretch>
                      <a:fillRect/>
                    </a:stretch>
                  </pic:blipFill>
                  <pic:spPr>
                    <a:xfrm>
                      <a:off x="0" y="0"/>
                      <a:ext cx="5334000" cy="3548765"/>
                    </a:xfrm>
                    <a:prstGeom prst="rect">
                      <a:avLst/>
                    </a:prstGeom>
                    <a:noFill/>
                    <a:ln w="9525">
                      <a:noFill/>
                    </a:ln>
                  </pic:spPr>
                </pic:pic>
              </a:graphicData>
            </a:graphic>
          </wp:inline>
        </w:drawing>
      </w:r>
    </w:p>
    <w:p w14:paraId="3BC13CC1">
      <w:pPr>
        <w:pStyle w:val="3"/>
      </w:pPr>
      <w:r>
        <w:rPr>
          <w:rFonts w:hint="eastAsia"/>
        </w:rPr>
        <w:t>1)标题：填写公告标题；</w:t>
      </w:r>
    </w:p>
    <w:p w14:paraId="348D6DD7">
      <w:pPr>
        <w:pStyle w:val="3"/>
      </w:pPr>
      <w:r>
        <w:rPr>
          <w:rFonts w:hint="eastAsia"/>
        </w:rPr>
        <w:t>2)分类：选择公告的类别，目前分为公司公告、内部通知、培训会议；</w:t>
      </w:r>
    </w:p>
    <w:p w14:paraId="31808012">
      <w:pPr>
        <w:pStyle w:val="3"/>
      </w:pPr>
      <w:r>
        <w:rPr>
          <w:rFonts w:hint="eastAsia"/>
        </w:rPr>
        <w:t>3)发布部门：选择发布该公告的部门，发布部门会在公告中显示出来，此处的部门数据来源于德索CRM，也就是柜台的组织架构；</w:t>
      </w:r>
    </w:p>
    <w:p w14:paraId="4028733E">
      <w:pPr>
        <w:pStyle w:val="3"/>
      </w:pPr>
      <w:r>
        <w:rPr>
          <w:rFonts w:hint="eastAsia"/>
        </w:rPr>
        <w:t>4)添加附件：公告中可以添加大小不超过10M的附件，支持格式在下方列出；</w:t>
      </w:r>
    </w:p>
    <w:p w14:paraId="725B6A9F">
      <w:pPr>
        <w:pStyle w:val="3"/>
      </w:pPr>
      <w:r>
        <w:rPr>
          <w:rFonts w:hint="eastAsia"/>
        </w:rPr>
        <w:t>5)正文：编辑公告正文内容；</w:t>
      </w:r>
    </w:p>
    <w:p w14:paraId="272DD6F8">
      <w:pPr>
        <w:pStyle w:val="3"/>
      </w:pPr>
      <w:r>
        <w:rPr>
          <w:rFonts w:hint="eastAsia"/>
        </w:rPr>
        <w:t>6)子部门可见：该选项默认不勾选，勾选后代表发布部门及下属子部门均能看到该条公告。</w:t>
      </w:r>
    </w:p>
    <w:bookmarkEnd w:id="9"/>
    <w:p w14:paraId="7844299E">
      <w:pPr>
        <w:pStyle w:val="5"/>
      </w:pPr>
      <w:bookmarkStart w:id="10" w:name="_Toc23522"/>
      <w:bookmarkStart w:id="11" w:name="公告审核"/>
      <w:r>
        <w:t xml:space="preserve">3. </w:t>
      </w:r>
      <w:r>
        <w:rPr>
          <w:rFonts w:hint="eastAsia"/>
        </w:rPr>
        <w:t>公告审核</w:t>
      </w:r>
      <w:bookmarkEnd w:id="10"/>
    </w:p>
    <w:p w14:paraId="0AE1D4CC">
      <w:pPr>
        <w:pStyle w:val="26"/>
      </w:pPr>
      <w:r>
        <w:rPr>
          <w:rFonts w:hint="eastAsia"/>
        </w:rPr>
        <w:t>1)公告编辑完成，提交后即进入待审核状态，需要审核通过后，方可在知客小程序中显示出来；</w:t>
      </w:r>
    </w:p>
    <w:p w14:paraId="3E0260EA">
      <w:pPr>
        <w:pStyle w:val="3"/>
      </w:pPr>
      <w:r>
        <w:rPr>
          <w:rFonts w:hint="eastAsia"/>
        </w:rPr>
        <w:t>2)点击待审核菜单，即可查看到最新需要审核的公告，点击右侧蓝色的审核按钮，即可预览公告内容，并进行通过/驳回的审核操作；</w:t>
      </w:r>
    </w:p>
    <w:p w14:paraId="620CDF0C">
      <w:pPr>
        <w:pStyle w:val="3"/>
      </w:pPr>
      <w:r>
        <w:drawing>
          <wp:inline distT="0" distB="0" distL="114300" distR="114300">
            <wp:extent cx="5334000" cy="1921510"/>
            <wp:effectExtent l="0" t="0" r="0" b="0"/>
            <wp:docPr id="2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descr="descript"/>
                    <pic:cNvPicPr>
                      <a:picLocks noChangeAspect="1" noChangeArrowheads="1"/>
                    </pic:cNvPicPr>
                  </pic:nvPicPr>
                  <pic:blipFill>
                    <a:blip r:embed="rId6"/>
                    <a:stretch>
                      <a:fillRect/>
                    </a:stretch>
                  </pic:blipFill>
                  <pic:spPr>
                    <a:xfrm>
                      <a:off x="0" y="0"/>
                      <a:ext cx="5334000" cy="1921629"/>
                    </a:xfrm>
                    <a:prstGeom prst="rect">
                      <a:avLst/>
                    </a:prstGeom>
                    <a:noFill/>
                    <a:ln w="9525">
                      <a:noFill/>
                    </a:ln>
                  </pic:spPr>
                </pic:pic>
              </a:graphicData>
            </a:graphic>
          </wp:inline>
        </w:drawing>
      </w:r>
    </w:p>
    <w:p w14:paraId="7C30D300">
      <w:pPr>
        <w:pStyle w:val="3"/>
      </w:pPr>
      <w:r>
        <w:drawing>
          <wp:inline distT="0" distB="0" distL="114300" distR="114300">
            <wp:extent cx="5334000" cy="1666875"/>
            <wp:effectExtent l="0" t="0" r="0" b="0"/>
            <wp:docPr id="3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descr="descript"/>
                    <pic:cNvPicPr>
                      <a:picLocks noChangeAspect="1" noChangeArrowheads="1"/>
                    </pic:cNvPicPr>
                  </pic:nvPicPr>
                  <pic:blipFill>
                    <a:blip r:embed="rId7"/>
                    <a:stretch>
                      <a:fillRect/>
                    </a:stretch>
                  </pic:blipFill>
                  <pic:spPr>
                    <a:xfrm>
                      <a:off x="0" y="0"/>
                      <a:ext cx="5334000" cy="1667131"/>
                    </a:xfrm>
                    <a:prstGeom prst="rect">
                      <a:avLst/>
                    </a:prstGeom>
                    <a:noFill/>
                    <a:ln w="9525">
                      <a:noFill/>
                    </a:ln>
                  </pic:spPr>
                </pic:pic>
              </a:graphicData>
            </a:graphic>
          </wp:inline>
        </w:drawing>
      </w:r>
    </w:p>
    <w:p w14:paraId="01BFEF06">
      <w:pPr>
        <w:pStyle w:val="3"/>
      </w:pPr>
      <w:r>
        <w:rPr>
          <w:rFonts w:hint="eastAsia"/>
        </w:rPr>
        <w:t>3)审核通过的公告会出现在已审核和已发布中，可以点击进行查看。</w:t>
      </w:r>
    </w:p>
    <w:bookmarkEnd w:id="11"/>
    <w:p w14:paraId="4A3610C4">
      <w:pPr>
        <w:pStyle w:val="5"/>
      </w:pPr>
      <w:bookmarkStart w:id="12" w:name="_Toc19945"/>
      <w:bookmarkStart w:id="13" w:name="公告查看"/>
      <w:r>
        <w:t xml:space="preserve">4. </w:t>
      </w:r>
      <w:r>
        <w:rPr>
          <w:rFonts w:hint="eastAsia"/>
        </w:rPr>
        <w:t>公告查看</w:t>
      </w:r>
      <w:bookmarkEnd w:id="12"/>
    </w:p>
    <w:p w14:paraId="5FB3E43B">
      <w:pPr>
        <w:pStyle w:val="26"/>
      </w:pPr>
      <w:r>
        <w:rPr>
          <w:rFonts w:hint="eastAsia"/>
        </w:rPr>
        <w:t>审核通过的公告，可以在知客小程序中进行查看：</w:t>
      </w:r>
    </w:p>
    <w:p w14:paraId="0939EB78">
      <w:pPr>
        <w:pStyle w:val="3"/>
      </w:pPr>
    </w:p>
    <w:bookmarkEnd w:id="13"/>
    <w:p w14:paraId="1EE927CE">
      <w:pPr>
        <w:pStyle w:val="5"/>
      </w:pPr>
      <w:bookmarkStart w:id="14" w:name="_Toc18539"/>
      <w:bookmarkStart w:id="15" w:name="公告修改及下架"/>
      <w:r>
        <w:t xml:space="preserve">5. </w:t>
      </w:r>
      <w:r>
        <w:rPr>
          <w:rFonts w:hint="eastAsia"/>
        </w:rPr>
        <w:t>公告修改及下架</w:t>
      </w:r>
      <w:bookmarkEnd w:id="14"/>
    </w:p>
    <w:p w14:paraId="2B3F9E6D">
      <w:pPr>
        <w:pStyle w:val="26"/>
      </w:pPr>
      <w:r>
        <w:rPr>
          <w:rFonts w:hint="eastAsia"/>
        </w:rPr>
        <w:t>1)审核通过的公告，可以在公告管理-已审核中进行修改或者下架，修改：针对公告内容进行修改，下架：下架此条公告信息。</w:t>
      </w:r>
    </w:p>
    <w:p w14:paraId="50920228">
      <w:pPr>
        <w:pStyle w:val="3"/>
      </w:pPr>
      <w:r>
        <w:drawing>
          <wp:inline distT="0" distB="0" distL="114300" distR="114300">
            <wp:extent cx="5334000" cy="1254125"/>
            <wp:effectExtent l="0" t="0" r="0" b="0"/>
            <wp:docPr id="3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descr="descript"/>
                    <pic:cNvPicPr>
                      <a:picLocks noChangeAspect="1" noChangeArrowheads="1"/>
                    </pic:cNvPicPr>
                  </pic:nvPicPr>
                  <pic:blipFill>
                    <a:blip r:embed="rId8"/>
                    <a:stretch>
                      <a:fillRect/>
                    </a:stretch>
                  </pic:blipFill>
                  <pic:spPr>
                    <a:xfrm>
                      <a:off x="0" y="0"/>
                      <a:ext cx="5334000" cy="1254637"/>
                    </a:xfrm>
                    <a:prstGeom prst="rect">
                      <a:avLst/>
                    </a:prstGeom>
                    <a:noFill/>
                    <a:ln w="9525">
                      <a:noFill/>
                    </a:ln>
                  </pic:spPr>
                </pic:pic>
              </a:graphicData>
            </a:graphic>
          </wp:inline>
        </w:drawing>
      </w:r>
    </w:p>
    <w:bookmarkEnd w:id="5"/>
    <w:bookmarkEnd w:id="15"/>
    <w:p w14:paraId="0F3233C8">
      <w:pPr>
        <w:pStyle w:val="4"/>
      </w:pPr>
      <w:bookmarkStart w:id="16" w:name="_Toc12820"/>
      <w:bookmarkStart w:id="17" w:name="三素材管理"/>
      <w:r>
        <w:rPr>
          <w:rFonts w:hint="eastAsia"/>
        </w:rPr>
        <w:t>三、素材管理</w:t>
      </w:r>
      <w:bookmarkEnd w:id="16"/>
    </w:p>
    <w:p w14:paraId="6E53D5D1">
      <w:pPr>
        <w:pStyle w:val="5"/>
      </w:pPr>
      <w:bookmarkStart w:id="18" w:name="_Toc18621"/>
      <w:bookmarkStart w:id="19" w:name="名片素材"/>
      <w:r>
        <w:t xml:space="preserve">1. </w:t>
      </w:r>
      <w:r>
        <w:rPr>
          <w:rFonts w:hint="eastAsia"/>
        </w:rPr>
        <w:t>名片素材</w:t>
      </w:r>
      <w:bookmarkEnd w:id="18"/>
    </w:p>
    <w:p w14:paraId="6ED8A5AC">
      <w:pPr>
        <w:pStyle w:val="26"/>
      </w:pPr>
      <w:r>
        <w:rPr>
          <w:rFonts w:hint="eastAsia"/>
        </w:rPr>
        <w:t>1)当使用者点击智能名片右上角的更改背景时，即可进入名片背景更换操作。在管理后台中，可以对智能名片素材进行管理；</w:t>
      </w:r>
    </w:p>
    <w:p w14:paraId="6C58957C">
      <w:pPr>
        <w:pStyle w:val="3"/>
      </w:pPr>
    </w:p>
    <w:p w14:paraId="6A51BD60">
      <w:pPr>
        <w:pStyle w:val="3"/>
      </w:pPr>
    </w:p>
    <w:p w14:paraId="763EDBE5">
      <w:pPr>
        <w:pStyle w:val="3"/>
      </w:pPr>
      <w:r>
        <w:rPr>
          <w:rFonts w:hint="eastAsia"/>
        </w:rPr>
        <w:t>2)在知客管理后台，点击名片素材即可进入素材管理界面，可以对已有的素材进行下架、删除操作，也可以点击上传图片新增名片素材。</w:t>
      </w:r>
    </w:p>
    <w:p w14:paraId="4307F610">
      <w:pPr>
        <w:pStyle w:val="3"/>
      </w:pPr>
      <w:r>
        <w:drawing>
          <wp:inline distT="0" distB="0" distL="114300" distR="114300">
            <wp:extent cx="5334000" cy="2837180"/>
            <wp:effectExtent l="0" t="0" r="0" b="0"/>
            <wp:docPr id="4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descr="descript"/>
                    <pic:cNvPicPr>
                      <a:picLocks noChangeAspect="1" noChangeArrowheads="1"/>
                    </pic:cNvPicPr>
                  </pic:nvPicPr>
                  <pic:blipFill>
                    <a:blip r:embed="rId9"/>
                    <a:stretch>
                      <a:fillRect/>
                    </a:stretch>
                  </pic:blipFill>
                  <pic:spPr>
                    <a:xfrm>
                      <a:off x="0" y="0"/>
                      <a:ext cx="5334000" cy="2837793"/>
                    </a:xfrm>
                    <a:prstGeom prst="rect">
                      <a:avLst/>
                    </a:prstGeom>
                    <a:noFill/>
                    <a:ln w="9525">
                      <a:noFill/>
                    </a:ln>
                  </pic:spPr>
                </pic:pic>
              </a:graphicData>
            </a:graphic>
          </wp:inline>
        </w:drawing>
      </w:r>
    </w:p>
    <w:bookmarkEnd w:id="19"/>
    <w:p w14:paraId="1154242D">
      <w:pPr>
        <w:pStyle w:val="5"/>
      </w:pPr>
      <w:bookmarkStart w:id="20" w:name="_Toc11329"/>
      <w:bookmarkStart w:id="21" w:name="营销海报"/>
      <w:r>
        <w:t xml:space="preserve">2. </w:t>
      </w:r>
      <w:r>
        <w:rPr>
          <w:rFonts w:hint="eastAsia"/>
        </w:rPr>
        <w:t>营销海报</w:t>
      </w:r>
      <w:bookmarkEnd w:id="20"/>
    </w:p>
    <w:p w14:paraId="518B5CC1">
      <w:pPr>
        <w:pStyle w:val="26"/>
      </w:pPr>
      <w:r>
        <w:rPr>
          <w:rFonts w:hint="eastAsia"/>
        </w:rPr>
        <w:t>1)在企业微信工作台-营销助手中，可以使用营销海报功能，点击左下角的更换海报，即可更换更多海报；</w:t>
      </w:r>
    </w:p>
    <w:p w14:paraId="73F95D90">
      <w:pPr>
        <w:pStyle w:val="3"/>
      </w:pPr>
      <w:r>
        <w:t xml:space="preserve"> </w:t>
      </w:r>
    </w:p>
    <w:p w14:paraId="22A82CB6">
      <w:pPr>
        <w:pStyle w:val="3"/>
      </w:pPr>
      <w:r>
        <w:rPr>
          <w:rFonts w:hint="eastAsia"/>
        </w:rPr>
        <w:t>2)在知客管理后台，点击营销海报即可进入素材管理界面，可以对已有的素材进行下架、删除操作，也可以点击上传图片新增名片素材。</w:t>
      </w:r>
    </w:p>
    <w:p w14:paraId="7518EB51">
      <w:pPr>
        <w:pStyle w:val="3"/>
      </w:pPr>
      <w:r>
        <w:drawing>
          <wp:inline distT="0" distB="0" distL="114300" distR="114300">
            <wp:extent cx="5334000" cy="2833370"/>
            <wp:effectExtent l="0" t="0" r="0" b="0"/>
            <wp:docPr id="4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descr="descript"/>
                    <pic:cNvPicPr>
                      <a:picLocks noChangeAspect="1" noChangeArrowheads="1"/>
                    </pic:cNvPicPr>
                  </pic:nvPicPr>
                  <pic:blipFill>
                    <a:blip r:embed="rId10"/>
                    <a:stretch>
                      <a:fillRect/>
                    </a:stretch>
                  </pic:blipFill>
                  <pic:spPr>
                    <a:xfrm>
                      <a:off x="0" y="0"/>
                      <a:ext cx="5334000" cy="2833687"/>
                    </a:xfrm>
                    <a:prstGeom prst="rect">
                      <a:avLst/>
                    </a:prstGeom>
                    <a:noFill/>
                    <a:ln w="9525">
                      <a:noFill/>
                    </a:ln>
                  </pic:spPr>
                </pic:pic>
              </a:graphicData>
            </a:graphic>
          </wp:inline>
        </w:drawing>
      </w:r>
    </w:p>
    <w:bookmarkEnd w:id="17"/>
    <w:bookmarkEnd w:id="21"/>
    <w:p w14:paraId="46B65DE2">
      <w:pPr>
        <w:pStyle w:val="4"/>
      </w:pPr>
      <w:bookmarkStart w:id="22" w:name="_Toc25580"/>
      <w:bookmarkStart w:id="23" w:name="四用户管理"/>
      <w:r>
        <w:rPr>
          <w:rFonts w:hint="eastAsia"/>
        </w:rPr>
        <w:t>四、用户管理</w:t>
      </w:r>
      <w:bookmarkEnd w:id="22"/>
    </w:p>
    <w:p w14:paraId="22AA2CCA">
      <w:pPr>
        <w:pStyle w:val="5"/>
      </w:pPr>
      <w:bookmarkStart w:id="24" w:name="_Toc19516"/>
      <w:bookmarkStart w:id="25" w:name="用户查看"/>
      <w:r>
        <w:t xml:space="preserve">1. </w:t>
      </w:r>
      <w:r>
        <w:rPr>
          <w:rFonts w:hint="eastAsia"/>
        </w:rPr>
        <w:t>用户查看</w:t>
      </w:r>
      <w:bookmarkEnd w:id="24"/>
    </w:p>
    <w:p w14:paraId="777D3E19">
      <w:pPr>
        <w:pStyle w:val="26"/>
      </w:pPr>
      <w:r>
        <w:rPr>
          <w:rFonts w:hint="eastAsia"/>
        </w:rPr>
        <w:t>点击用户管理按钮，即可查看到知客小程序的用户信息，上方提供了用户检索条件，下方是客户详细信息列表；</w:t>
      </w:r>
    </w:p>
    <w:p w14:paraId="51B2BDBC">
      <w:pPr>
        <w:pStyle w:val="3"/>
      </w:pPr>
      <w:r>
        <w:rPr>
          <w:rFonts w:hint="eastAsia"/>
        </w:rPr>
        <w:t>知客的用户数据从德索CRM每日自动同步。</w:t>
      </w:r>
    </w:p>
    <w:p w14:paraId="2A5DD95C">
      <w:pPr>
        <w:pStyle w:val="3"/>
      </w:pPr>
      <w:r>
        <w:drawing>
          <wp:inline distT="0" distB="0" distL="114300" distR="114300">
            <wp:extent cx="5334000" cy="2705735"/>
            <wp:effectExtent l="0" t="0" r="0" b="0"/>
            <wp:docPr id="4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descript"/>
                    <pic:cNvPicPr>
                      <a:picLocks noChangeAspect="1" noChangeArrowheads="1"/>
                    </pic:cNvPicPr>
                  </pic:nvPicPr>
                  <pic:blipFill>
                    <a:blip r:embed="rId11"/>
                    <a:stretch>
                      <a:fillRect/>
                    </a:stretch>
                  </pic:blipFill>
                  <pic:spPr>
                    <a:xfrm>
                      <a:off x="0" y="0"/>
                      <a:ext cx="5334000" cy="2705922"/>
                    </a:xfrm>
                    <a:prstGeom prst="rect">
                      <a:avLst/>
                    </a:prstGeom>
                    <a:noFill/>
                    <a:ln w="9525">
                      <a:noFill/>
                    </a:ln>
                  </pic:spPr>
                </pic:pic>
              </a:graphicData>
            </a:graphic>
          </wp:inline>
        </w:drawing>
      </w:r>
    </w:p>
    <w:p w14:paraId="1D5313D6">
      <w:pPr>
        <w:pStyle w:val="3"/>
      </w:pPr>
      <w:r>
        <w:rPr>
          <w:rFonts w:hint="eastAsia"/>
        </w:rPr>
        <w:t>一共由三个操作按钮：</w:t>
      </w:r>
    </w:p>
    <w:p w14:paraId="24F99732">
      <w:pPr>
        <w:pStyle w:val="3"/>
      </w:pPr>
      <w:r>
        <w:rPr>
          <w:rFonts w:hint="eastAsia"/>
        </w:rPr>
        <w:t>1）修改：点击修改按钮，即可进入用户修改界面，对该用户的部分信息修改。</w:t>
      </w:r>
    </w:p>
    <w:p w14:paraId="51E1E52F">
      <w:pPr>
        <w:pStyle w:val="3"/>
      </w:pPr>
      <w:r>
        <w:rPr>
          <w:rFonts w:hint="eastAsia"/>
        </w:rPr>
        <w:t>2）同步基础信息：点击从德索CRM重新同步基础信息，包括员工的企微号，员工微信小程序号，员工名称，部门，状态，是否为客户经理，手机号，是否自动绑定企微等信息，但不重新计算员工的业绩数据。</w:t>
      </w:r>
    </w:p>
    <w:p w14:paraId="7E292B3F">
      <w:pPr>
        <w:pStyle w:val="3"/>
      </w:pPr>
      <w:r>
        <w:rPr>
          <w:rFonts w:hint="eastAsia"/>
        </w:rPr>
        <w:t>3）同步全部信息：除了从德索CRM重新同步基础信息之外，还额外同步员工的开发关系，提成比例等信息，并重新计算员工的业绩数据。</w:t>
      </w:r>
    </w:p>
    <w:p w14:paraId="7B0B5AA3">
      <w:pPr>
        <w:pStyle w:val="13"/>
      </w:pPr>
      <w:r>
        <w:rPr>
          <w:rFonts w:hint="eastAsia"/>
          <w:b/>
          <w:bCs/>
        </w:rPr>
        <w:t>账号锁定与解锁（V1.9.6</w:t>
      </w:r>
      <w:r>
        <w:rPr>
          <w:b/>
          <w:bCs/>
        </w:rPr>
        <w:t xml:space="preserve"> </w:t>
      </w:r>
      <w:r>
        <w:rPr>
          <w:rFonts w:hint="eastAsia"/>
          <w:b/>
          <w:bCs/>
        </w:rPr>
        <w:t>新增）</w:t>
      </w:r>
    </w:p>
    <w:p w14:paraId="184A81AB">
      <w:pPr>
        <w:pStyle w:val="13"/>
      </w:pPr>
      <w:r>
        <w:rPr>
          <w:rFonts w:hint="eastAsia"/>
        </w:rPr>
        <w:t>为增强账号安全，知客支持</w:t>
      </w:r>
      <w:r>
        <w:rPr>
          <w:rFonts w:hint="eastAsia"/>
          <w:b/>
          <w:bCs/>
        </w:rPr>
        <w:t>密码错误次数上限锁定</w:t>
      </w:r>
      <w:r>
        <w:rPr>
          <w:rFonts w:hint="eastAsia"/>
        </w:rPr>
        <w:t>：用户连续输错密码达到上限后账号自动锁定，用户端登录时会提示已连续输错次数及锁定预警。被锁定的账号需管理员在本页面【用户管理】中找到该用户进行解锁。该功能是否启用及错误次数上限值均通过系统参数控制，如需调整请联系德索运维人员配置。</w:t>
      </w:r>
    </w:p>
    <w:bookmarkEnd w:id="25"/>
    <w:p w14:paraId="356FAB50">
      <w:pPr>
        <w:pStyle w:val="5"/>
      </w:pPr>
      <w:bookmarkStart w:id="26" w:name="_Toc902"/>
      <w:bookmarkStart w:id="27" w:name="用户修改"/>
      <w:r>
        <w:t xml:space="preserve">2. </w:t>
      </w:r>
      <w:r>
        <w:rPr>
          <w:rFonts w:hint="eastAsia"/>
        </w:rPr>
        <w:t>用户修改</w:t>
      </w:r>
      <w:bookmarkEnd w:id="26"/>
    </w:p>
    <w:p w14:paraId="314FCF27">
      <w:pPr>
        <w:pStyle w:val="26"/>
      </w:pPr>
      <w:r>
        <w:rPr>
          <w:rFonts w:hint="eastAsia"/>
        </w:rPr>
        <w:t>知客用户的类型，由</w:t>
      </w:r>
      <w:r>
        <w:rPr>
          <w:rFonts w:hint="eastAsia"/>
          <w:b/>
          <w:bCs/>
        </w:rPr>
        <w:t>数据权限</w:t>
      </w:r>
      <w:r>
        <w:rPr>
          <w:rFonts w:hint="eastAsia"/>
        </w:rPr>
        <w:t>和</w:t>
      </w:r>
      <w:r>
        <w:rPr>
          <w:rFonts w:hint="eastAsia"/>
          <w:b/>
          <w:bCs/>
        </w:rPr>
        <w:t>页面权限</w:t>
      </w:r>
      <w:r>
        <w:rPr>
          <w:rFonts w:hint="eastAsia"/>
        </w:rPr>
        <w:t>两部分组成。</w:t>
      </w:r>
    </w:p>
    <w:p w14:paraId="2C4AF656">
      <w:pPr>
        <w:pStyle w:val="3"/>
      </w:pPr>
      <w:r>
        <w:drawing>
          <wp:inline distT="0" distB="0" distL="114300" distR="114300">
            <wp:extent cx="5334000" cy="4924425"/>
            <wp:effectExtent l="0" t="0" r="0" b="0"/>
            <wp:docPr id="5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descr="descript"/>
                    <pic:cNvPicPr>
                      <a:picLocks noChangeAspect="1" noChangeArrowheads="1"/>
                    </pic:cNvPicPr>
                  </pic:nvPicPr>
                  <pic:blipFill>
                    <a:blip r:embed="rId12"/>
                    <a:stretch>
                      <a:fillRect/>
                    </a:stretch>
                  </pic:blipFill>
                  <pic:spPr>
                    <a:xfrm>
                      <a:off x="0" y="0"/>
                      <a:ext cx="5334000" cy="4924579"/>
                    </a:xfrm>
                    <a:prstGeom prst="rect">
                      <a:avLst/>
                    </a:prstGeom>
                    <a:noFill/>
                    <a:ln w="9525">
                      <a:noFill/>
                    </a:ln>
                  </pic:spPr>
                </pic:pic>
              </a:graphicData>
            </a:graphic>
          </wp:inline>
        </w:drawing>
      </w:r>
    </w:p>
    <w:p w14:paraId="09C0A8C7">
      <w:pPr>
        <w:pStyle w:val="3"/>
      </w:pPr>
      <w:r>
        <w:t>1)</w:t>
      </w:r>
      <w:r>
        <w:rPr>
          <w:rFonts w:hint="eastAsia"/>
          <w:b/>
          <w:bCs/>
        </w:rPr>
        <w:t>数据权限：</w:t>
      </w:r>
      <w:r>
        <w:t xml:space="preserve"> </w:t>
      </w:r>
      <w:r>
        <w:rPr>
          <w:rFonts w:hint="eastAsia"/>
        </w:rPr>
        <w:t>决定了这个用户的数据查看范围，包括客户经理，部门经理及总部管理人员，如下表：</w:t>
      </w:r>
    </w:p>
    <w:p w14:paraId="7BEBDDFE">
      <w:pPr>
        <w:pStyle w:val="3"/>
      </w:pPr>
      <w:r>
        <w:drawing>
          <wp:inline distT="0" distB="0" distL="114300" distR="114300">
            <wp:extent cx="5334000" cy="1137285"/>
            <wp:effectExtent l="0" t="0" r="0" b="0"/>
            <wp:docPr id="5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descr="descript"/>
                    <pic:cNvPicPr>
                      <a:picLocks noChangeAspect="1" noChangeArrowheads="1"/>
                    </pic:cNvPicPr>
                  </pic:nvPicPr>
                  <pic:blipFill>
                    <a:blip r:embed="rId13"/>
                    <a:stretch>
                      <a:fillRect/>
                    </a:stretch>
                  </pic:blipFill>
                  <pic:spPr>
                    <a:xfrm>
                      <a:off x="0" y="0"/>
                      <a:ext cx="5334000" cy="1137671"/>
                    </a:xfrm>
                    <a:prstGeom prst="rect">
                      <a:avLst/>
                    </a:prstGeom>
                    <a:noFill/>
                    <a:ln w="9525">
                      <a:noFill/>
                    </a:ln>
                  </pic:spPr>
                </pic:pic>
              </a:graphicData>
            </a:graphic>
          </wp:inline>
        </w:drawing>
      </w:r>
    </w:p>
    <w:p w14:paraId="5C25AEDD">
      <w:pPr>
        <w:pStyle w:val="3"/>
      </w:pPr>
      <w:r>
        <w:rPr>
          <w:rFonts w:hint="eastAsia"/>
          <w:b/>
          <w:bCs/>
        </w:rPr>
        <w:t>客户经理：</w:t>
      </w:r>
      <w:r>
        <w:t xml:space="preserve"> </w:t>
      </w:r>
      <w:r>
        <w:rPr>
          <w:rFonts w:hint="eastAsia"/>
        </w:rPr>
        <w:t>系统会自动判断一个用户是否为客户经理，而且仅由系统判断，暂不提供手工维护；</w:t>
      </w:r>
    </w:p>
    <w:p w14:paraId="3AE9854D">
      <w:pPr>
        <w:pStyle w:val="27"/>
        <w:numPr>
          <w:ilvl w:val="0"/>
          <w:numId w:val="1"/>
        </w:numPr>
      </w:pPr>
      <w:r>
        <w:rPr>
          <w:rFonts w:hint="eastAsia"/>
        </w:rPr>
        <w:t>判断依据：是否在德索系统内维护了【操作员与业务人员对应关系】，只要存在操作员与业务人员的对应关系，那么就认为这个操作员</w:t>
      </w:r>
      <w:r>
        <w:rPr>
          <w:rFonts w:hint="eastAsia"/>
          <w:b/>
          <w:bCs/>
        </w:rPr>
        <w:t>至少</w:t>
      </w:r>
      <w:r>
        <w:rPr>
          <w:rFonts w:hint="eastAsia"/>
        </w:rPr>
        <w:t>是一个客户经理。</w:t>
      </w:r>
    </w:p>
    <w:p w14:paraId="3EAC54CF">
      <w:pPr>
        <w:pStyle w:val="26"/>
      </w:pPr>
      <w:r>
        <w:drawing>
          <wp:inline distT="0" distB="0" distL="114300" distR="114300">
            <wp:extent cx="5334000" cy="5868670"/>
            <wp:effectExtent l="0" t="0" r="0" b="0"/>
            <wp:docPr id="5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descr="descript"/>
                    <pic:cNvPicPr>
                      <a:picLocks noChangeAspect="1" noChangeArrowheads="1"/>
                    </pic:cNvPicPr>
                  </pic:nvPicPr>
                  <pic:blipFill>
                    <a:blip r:embed="rId14"/>
                    <a:stretch>
                      <a:fillRect/>
                    </a:stretch>
                  </pic:blipFill>
                  <pic:spPr>
                    <a:xfrm>
                      <a:off x="0" y="0"/>
                      <a:ext cx="5334000" cy="5869183"/>
                    </a:xfrm>
                    <a:prstGeom prst="rect">
                      <a:avLst/>
                    </a:prstGeom>
                    <a:noFill/>
                    <a:ln w="9525">
                      <a:noFill/>
                    </a:ln>
                  </pic:spPr>
                </pic:pic>
              </a:graphicData>
            </a:graphic>
          </wp:inline>
        </w:drawing>
      </w:r>
    </w:p>
    <w:p w14:paraId="444A62E6">
      <w:pPr>
        <w:pStyle w:val="3"/>
      </w:pPr>
      <w:r>
        <w:rPr>
          <w:rFonts w:hint="eastAsia"/>
          <w:b/>
          <w:bCs/>
        </w:rPr>
        <w:t>部门经理：</w:t>
      </w:r>
      <w:r>
        <w:t xml:space="preserve"> </w:t>
      </w:r>
      <w:r>
        <w:rPr>
          <w:rFonts w:hint="eastAsia"/>
        </w:rPr>
        <w:t>当一个用户不是客户经理时，且对应的部门不是总部，那么在初始化的时候就是一个部门经理，并且默认不允许登录，需要手工打开登录权限；</w:t>
      </w:r>
    </w:p>
    <w:p w14:paraId="4FDD3C5B">
      <w:pPr>
        <w:pStyle w:val="3"/>
      </w:pPr>
      <w:r>
        <w:rPr>
          <w:rFonts w:hint="eastAsia"/>
          <w:b/>
          <w:bCs/>
        </w:rPr>
        <w:t>总部管理人员：</w:t>
      </w:r>
      <w:r>
        <w:t xml:space="preserve"> </w:t>
      </w:r>
      <w:r>
        <w:rPr>
          <w:rFonts w:hint="eastAsia"/>
        </w:rPr>
        <w:t>当一个用户不是客户经理时，且对应的部门是总部，那么在初始化的时候就是一个总部管理人员，并且默认不允许登录，需要手工打开登录权限；</w:t>
      </w:r>
    </w:p>
    <w:p w14:paraId="1133A6FB">
      <w:pPr>
        <w:pStyle w:val="13"/>
      </w:pPr>
      <w:r>
        <w:rPr>
          <w:rFonts w:hint="eastAsia"/>
          <w:b/>
          <w:bCs/>
        </w:rPr>
        <w:t>提示</w:t>
      </w:r>
    </w:p>
    <w:p w14:paraId="4FF36882">
      <w:pPr>
        <w:pStyle w:val="13"/>
      </w:pPr>
      <w:r>
        <w:rPr>
          <w:rFonts w:hint="eastAsia"/>
        </w:rPr>
        <w:t>当用户是</w:t>
      </w:r>
      <w:r>
        <w:t xml:space="preserve"> </w:t>
      </w:r>
      <w:r>
        <w:rPr>
          <w:rFonts w:hint="eastAsia"/>
        </w:rPr>
        <w:t>部门经理</w:t>
      </w:r>
      <w:r>
        <w:t xml:space="preserve"> </w:t>
      </w:r>
      <w:r>
        <w:rPr>
          <w:rFonts w:hint="eastAsia"/>
        </w:rPr>
        <w:t>或</w:t>
      </w:r>
      <w:r>
        <w:t xml:space="preserve"> </w:t>
      </w:r>
      <w:r>
        <w:rPr>
          <w:rFonts w:hint="eastAsia"/>
        </w:rPr>
        <w:t>总部管理人员时，需要在管理后台手工确认并打开登录权限。</w:t>
      </w:r>
    </w:p>
    <w:p w14:paraId="4A547044">
      <w:pPr>
        <w:pStyle w:val="26"/>
      </w:pPr>
      <w:r>
        <w:t>2)</w:t>
      </w:r>
      <w:r>
        <w:rPr>
          <w:rFonts w:hint="eastAsia"/>
          <w:b/>
          <w:bCs/>
        </w:rPr>
        <w:t>页面权限：</w:t>
      </w:r>
      <w:r>
        <w:t xml:space="preserve"> </w:t>
      </w:r>
      <w:r>
        <w:rPr>
          <w:rFonts w:hint="eastAsia"/>
        </w:rPr>
        <w:t>不同的用户类型可以查看不同的知客小程序页面，如总部管理人员可以看到所有页面，而客户经理可能会被限制查看客户的实时持仓。</w:t>
      </w:r>
    </w:p>
    <w:p w14:paraId="6D2D4A1B">
      <w:pPr>
        <w:pStyle w:val="3"/>
      </w:pPr>
      <w:r>
        <w:rPr>
          <w:rFonts w:hint="eastAsia"/>
        </w:rPr>
        <w:t>即使是同一种用户类型（如都是客户经理），通过配置不同的页面权限，也可实现差异化的页面展示。上线时每个用户类型会默认对应好页面模板，正常情况下无需做变动。</w:t>
      </w:r>
    </w:p>
    <w:p w14:paraId="04BDA7B4">
      <w:pPr>
        <w:pStyle w:val="13"/>
      </w:pPr>
      <w:r>
        <w:rPr>
          <w:rFonts w:hint="eastAsia"/>
          <w:b/>
          <w:bCs/>
        </w:rPr>
        <w:t>提示</w:t>
      </w:r>
    </w:p>
    <w:p w14:paraId="7AC3BFB8">
      <w:pPr>
        <w:pStyle w:val="13"/>
      </w:pPr>
      <w:r>
        <w:rPr>
          <w:rFonts w:hint="eastAsia"/>
        </w:rPr>
        <w:t>如果有个性化展示要求，或者如同一种用户类型需要有不同的页面展示时，才需要在本文档</w:t>
      </w:r>
      <w:r>
        <w:fldChar w:fldCharType="begin"/>
      </w:r>
      <w:r>
        <w:instrText xml:space="preserve"> HYPERLINK "./mobile-admin.md#六、权限管理" \h </w:instrText>
      </w:r>
      <w:r>
        <w:fldChar w:fldCharType="separate"/>
      </w:r>
      <w:r>
        <w:rPr>
          <w:rStyle w:val="23"/>
          <w:rFonts w:hint="eastAsia"/>
        </w:rPr>
        <w:t>第六部分【权限管理】</w:t>
      </w:r>
      <w:r>
        <w:rPr>
          <w:rStyle w:val="23"/>
          <w:rFonts w:hint="eastAsia"/>
        </w:rPr>
        <w:fldChar w:fldCharType="end"/>
      </w:r>
      <w:r>
        <w:rPr>
          <w:rFonts w:hint="eastAsia"/>
        </w:rPr>
        <w:t>模块进行新增页面角色的维护；</w:t>
      </w:r>
    </w:p>
    <w:p w14:paraId="63C3C9A7">
      <w:pPr>
        <w:pStyle w:val="26"/>
      </w:pPr>
      <w:r>
        <w:t>3)</w:t>
      </w:r>
      <w:r>
        <w:rPr>
          <w:rFonts w:hint="eastAsia"/>
          <w:b/>
          <w:bCs/>
        </w:rPr>
        <w:t>业务角色</w:t>
      </w:r>
      <w:r>
        <w:rPr>
          <w:rFonts w:hint="eastAsia"/>
        </w:rPr>
        <w:t>：决定了该用户可以查看哪些业务的数据，默认是全业务（期货经纪业务+个股期权业务）。</w:t>
      </w:r>
    </w:p>
    <w:p w14:paraId="029D7A12">
      <w:pPr>
        <w:pStyle w:val="3"/>
      </w:pPr>
      <w:r>
        <w:rPr>
          <w:rFonts w:hint="eastAsia"/>
        </w:rPr>
        <w:t>若知客尚未对接股票期权数据或者尚未拥有股权期权业务，则全业务等同于期货业务；</w:t>
      </w:r>
    </w:p>
    <w:p w14:paraId="71A2C69B">
      <w:pPr>
        <w:pStyle w:val="3"/>
      </w:pPr>
      <w:r>
        <w:t>4)</w:t>
      </w:r>
      <w:r>
        <w:rPr>
          <w:rFonts w:hint="eastAsia"/>
          <w:b/>
          <w:bCs/>
        </w:rPr>
        <w:t>登陆手机号</w:t>
      </w:r>
      <w:r>
        <w:rPr>
          <w:rFonts w:hint="eastAsia"/>
        </w:rPr>
        <w:t>：默认从德索CRM同步过来。小程序支持以手机号+验证码的形式登陆。</w:t>
      </w:r>
    </w:p>
    <w:p w14:paraId="67635A9E">
      <w:pPr>
        <w:pStyle w:val="3"/>
      </w:pPr>
      <w:r>
        <w:t>5)</w:t>
      </w:r>
      <w:r>
        <w:rPr>
          <w:rFonts w:hint="eastAsia"/>
          <w:b/>
          <w:bCs/>
        </w:rPr>
        <w:t>是否允许登录</w:t>
      </w:r>
      <w:r>
        <w:rPr>
          <w:rFonts w:hint="eastAsia"/>
        </w:rPr>
        <w:t>：是否允许该用户登录知客小程序；</w:t>
      </w:r>
    </w:p>
    <w:p w14:paraId="2AE97600">
      <w:pPr>
        <w:pStyle w:val="3"/>
      </w:pPr>
      <w:r>
        <w:t>6)</w:t>
      </w:r>
      <w:r>
        <w:rPr>
          <w:rFonts w:hint="eastAsia"/>
          <w:b/>
          <w:bCs/>
        </w:rPr>
        <w:t>其他名片展示字段</w:t>
      </w:r>
      <w:r>
        <w:rPr>
          <w:rFonts w:hint="eastAsia"/>
        </w:rPr>
        <w:t>：可以修改员工证件号、办公电话、邮箱地址等信息，将在智能名片上进行展示。</w:t>
      </w:r>
    </w:p>
    <w:p w14:paraId="70661E76">
      <w:pPr>
        <w:pStyle w:val="13"/>
      </w:pPr>
      <w:r>
        <w:rPr>
          <w:rFonts w:hint="eastAsia"/>
          <w:b/>
          <w:bCs/>
        </w:rPr>
        <w:t>提示</w:t>
      </w:r>
    </w:p>
    <w:p w14:paraId="4D633DFE">
      <w:pPr>
        <w:pStyle w:val="13"/>
      </w:pPr>
      <w:r>
        <w:rPr>
          <w:rFonts w:hint="eastAsia"/>
        </w:rPr>
        <w:t>用户信息的修改功能，仅可以修改用户的部分信息，修改完用户数据如果想要实时生效，需要在用户列表最右侧点击</w:t>
      </w:r>
      <w:r>
        <w:t xml:space="preserve"> </w:t>
      </w:r>
      <w:r>
        <w:rPr>
          <w:rFonts w:hint="eastAsia"/>
        </w:rPr>
        <w:t>【同步基本信息】，否则需要等当天晚上跑批才会自动更新。</w:t>
      </w:r>
    </w:p>
    <w:bookmarkEnd w:id="23"/>
    <w:bookmarkEnd w:id="27"/>
    <w:p w14:paraId="5259B4FF">
      <w:pPr>
        <w:pStyle w:val="4"/>
      </w:pPr>
      <w:bookmarkStart w:id="28" w:name="_Toc29288"/>
      <w:bookmarkStart w:id="29" w:name="五消息规则管理"/>
      <w:r>
        <w:rPr>
          <w:rFonts w:hint="eastAsia"/>
        </w:rPr>
        <w:t>五、消息规则管理</w:t>
      </w:r>
      <w:bookmarkEnd w:id="28"/>
    </w:p>
    <w:p w14:paraId="6CA8982A">
      <w:pPr>
        <w:pStyle w:val="26"/>
      </w:pPr>
      <w:r>
        <w:rPr>
          <w:rFonts w:hint="eastAsia"/>
        </w:rPr>
        <w:t>此模块用于配置异动消息，及提醒消息的触发规则及发送内容，由供应商进行配置，保持默认即可，若有个性化消息提醒需求，可以联系我们，由系统运维人员进行配置。</w:t>
      </w:r>
    </w:p>
    <w:bookmarkEnd w:id="29"/>
    <w:p w14:paraId="5A948B55">
      <w:pPr>
        <w:pStyle w:val="4"/>
      </w:pPr>
      <w:bookmarkStart w:id="30" w:name="_Toc30513"/>
      <w:bookmarkStart w:id="31" w:name="六权限管理"/>
      <w:r>
        <w:rPr>
          <w:rFonts w:hint="eastAsia"/>
        </w:rPr>
        <w:t>六、权限管理</w:t>
      </w:r>
      <w:bookmarkEnd w:id="30"/>
    </w:p>
    <w:p w14:paraId="52B34A95">
      <w:pPr>
        <w:pStyle w:val="5"/>
      </w:pPr>
      <w:bookmarkStart w:id="32" w:name="_Toc1400"/>
      <w:bookmarkStart w:id="33" w:name="页面资源管理"/>
      <w:r>
        <w:t xml:space="preserve">1. </w:t>
      </w:r>
      <w:r>
        <w:rPr>
          <w:rFonts w:hint="eastAsia"/>
        </w:rPr>
        <w:t>页面资源管理</w:t>
      </w:r>
      <w:bookmarkEnd w:id="32"/>
    </w:p>
    <w:p w14:paraId="6F867820">
      <w:pPr>
        <w:pStyle w:val="26"/>
      </w:pPr>
      <w:r>
        <w:rPr>
          <w:rFonts w:hint="eastAsia"/>
        </w:rPr>
        <w:t>作为小程序使用的全局资源树，这里面包含了全部可供使用的功能，菜单，按钮，字段等定义。是客户经理，部门经理及总部管理人员</w:t>
      </w:r>
      <w:r>
        <w:t xml:space="preserve"> </w:t>
      </w:r>
      <w:r>
        <w:rPr>
          <w:rFonts w:hint="eastAsia"/>
        </w:rPr>
        <w:t>使用的小程序功能的全集。</w:t>
      </w:r>
    </w:p>
    <w:p w14:paraId="79D66733">
      <w:pPr>
        <w:pStyle w:val="3"/>
      </w:pPr>
      <w:r>
        <w:drawing>
          <wp:inline distT="0" distB="0" distL="114300" distR="114300">
            <wp:extent cx="5334000" cy="3552190"/>
            <wp:effectExtent l="0" t="0" r="0" b="0"/>
            <wp:docPr id="6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descr="descript"/>
                    <pic:cNvPicPr>
                      <a:picLocks noChangeAspect="1" noChangeArrowheads="1"/>
                    </pic:cNvPicPr>
                  </pic:nvPicPr>
                  <pic:blipFill>
                    <a:blip r:embed="rId15"/>
                    <a:stretch>
                      <a:fillRect/>
                    </a:stretch>
                  </pic:blipFill>
                  <pic:spPr>
                    <a:xfrm>
                      <a:off x="0" y="0"/>
                      <a:ext cx="5334000" cy="3552737"/>
                    </a:xfrm>
                    <a:prstGeom prst="rect">
                      <a:avLst/>
                    </a:prstGeom>
                    <a:noFill/>
                    <a:ln w="9525">
                      <a:noFill/>
                    </a:ln>
                  </pic:spPr>
                </pic:pic>
              </a:graphicData>
            </a:graphic>
          </wp:inline>
        </w:drawing>
      </w:r>
    </w:p>
    <w:p w14:paraId="5D5FD2FA">
      <w:pPr>
        <w:pStyle w:val="3"/>
      </w:pPr>
      <w:r>
        <w:rPr>
          <w:rFonts w:hint="eastAsia"/>
        </w:rPr>
        <w:t>因页面资源管理中的ID有特殊使用要求，不建议轻易新增、修改或删除该页面内容，如需编辑请联系德索工程师处理。</w:t>
      </w:r>
    </w:p>
    <w:p w14:paraId="4925ACE7">
      <w:pPr>
        <w:pStyle w:val="13"/>
      </w:pPr>
      <w:r>
        <w:rPr>
          <w:rFonts w:hint="eastAsia"/>
          <w:b/>
          <w:bCs/>
        </w:rPr>
        <w:t>提示</w:t>
      </w:r>
    </w:p>
    <w:p w14:paraId="3EDB62E6">
      <w:pPr>
        <w:pStyle w:val="13"/>
      </w:pPr>
      <w:r>
        <w:rPr>
          <w:rFonts w:hint="eastAsia"/>
        </w:rPr>
        <w:t>自</w:t>
      </w:r>
      <w:r>
        <w:t xml:space="preserve"> V1.9.6 </w:t>
      </w:r>
      <w:r>
        <w:rPr>
          <w:rFonts w:hint="eastAsia"/>
        </w:rPr>
        <w:t>起，客户详情【实时数据】模块新增”实时成交”Tab（展示客户最新</w:t>
      </w:r>
      <w:r>
        <w:t xml:space="preserve"> 50 </w:t>
      </w:r>
      <w:r>
        <w:rPr>
          <w:rFonts w:hint="eastAsia"/>
        </w:rPr>
        <w:t>条成交记录）。考虑到成交数据的敏感性，页面资源管理中相应增加了”实时成交”权限配置项，管理员可在【页面角色管理】中按角色开启或关闭该项展示，满足差异化的合规与内控要求。</w:t>
      </w:r>
    </w:p>
    <w:bookmarkEnd w:id="33"/>
    <w:p w14:paraId="46EC58EF">
      <w:pPr>
        <w:pStyle w:val="5"/>
      </w:pPr>
      <w:bookmarkStart w:id="34" w:name="_Toc4590"/>
      <w:bookmarkStart w:id="35" w:name="页面角色管理"/>
      <w:r>
        <w:t xml:space="preserve">2. </w:t>
      </w:r>
      <w:r>
        <w:rPr>
          <w:rFonts w:hint="eastAsia"/>
        </w:rPr>
        <w:t>页面角色管理</w:t>
      </w:r>
      <w:bookmarkEnd w:id="34"/>
    </w:p>
    <w:p w14:paraId="3A4CA439">
      <w:pPr>
        <w:pStyle w:val="26"/>
      </w:pPr>
      <w:r>
        <w:rPr>
          <w:rFonts w:hint="eastAsia"/>
        </w:rPr>
        <w:t>系统默认的三个页面角色ID：default01，default02，default03，为系统内置的页面角色，由德索统一更新维护，不需要修改。</w:t>
      </w:r>
    </w:p>
    <w:p w14:paraId="6F277A11">
      <w:pPr>
        <w:pStyle w:val="3"/>
      </w:pPr>
      <w:r>
        <w:rPr>
          <w:rFonts w:hint="eastAsia"/>
        </w:rPr>
        <w:t>红框表示角色的类型，分别为客户经理、部门经理及总部管理人员。</w:t>
      </w:r>
    </w:p>
    <w:p w14:paraId="02FCFC1E">
      <w:pPr>
        <w:pStyle w:val="3"/>
      </w:pPr>
      <w:r>
        <w:drawing>
          <wp:inline distT="0" distB="0" distL="114300" distR="114300">
            <wp:extent cx="5334000" cy="2249170"/>
            <wp:effectExtent l="0" t="0" r="0" b="0"/>
            <wp:docPr id="7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descr="descript"/>
                    <pic:cNvPicPr>
                      <a:picLocks noChangeAspect="1" noChangeArrowheads="1"/>
                    </pic:cNvPicPr>
                  </pic:nvPicPr>
                  <pic:blipFill>
                    <a:blip r:embed="rId16"/>
                    <a:stretch>
                      <a:fillRect/>
                    </a:stretch>
                  </pic:blipFill>
                  <pic:spPr>
                    <a:xfrm>
                      <a:off x="0" y="0"/>
                      <a:ext cx="5334000" cy="2249411"/>
                    </a:xfrm>
                    <a:prstGeom prst="rect">
                      <a:avLst/>
                    </a:prstGeom>
                    <a:noFill/>
                    <a:ln w="9525">
                      <a:noFill/>
                    </a:ln>
                  </pic:spPr>
                </pic:pic>
              </a:graphicData>
            </a:graphic>
          </wp:inline>
        </w:drawing>
      </w:r>
    </w:p>
    <w:p w14:paraId="46030439">
      <w:pPr>
        <w:pStyle w:val="3"/>
      </w:pPr>
      <w:r>
        <w:rPr>
          <w:rFonts w:hint="eastAsia"/>
          <w:b/>
          <w:bCs/>
        </w:rPr>
        <w:t>新增角色：</w:t>
      </w:r>
      <w:r>
        <w:t xml:space="preserve"> </w:t>
      </w:r>
      <w:r>
        <w:rPr>
          <w:rFonts w:hint="eastAsia"/>
        </w:rPr>
        <w:t>新增的页面角色只能是三个用户类型中的一种，新增后默认对应的资源权限为该类型对应的默认页面角色，即绿框里面的页面角色</w:t>
      </w:r>
    </w:p>
    <w:p w14:paraId="2E4D9420">
      <w:pPr>
        <w:pStyle w:val="3"/>
      </w:pPr>
      <w:r>
        <w:drawing>
          <wp:inline distT="0" distB="0" distL="114300" distR="114300">
            <wp:extent cx="4924425" cy="3295650"/>
            <wp:effectExtent l="0" t="0" r="0" b="0"/>
            <wp:docPr id="7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descr="descript"/>
                    <pic:cNvPicPr>
                      <a:picLocks noChangeAspect="1" noChangeArrowheads="1"/>
                    </pic:cNvPicPr>
                  </pic:nvPicPr>
                  <pic:blipFill>
                    <a:blip r:embed="rId17"/>
                    <a:stretch>
                      <a:fillRect/>
                    </a:stretch>
                  </pic:blipFill>
                  <pic:spPr>
                    <a:xfrm>
                      <a:off x="0" y="0"/>
                      <a:ext cx="4924799" cy="3295900"/>
                    </a:xfrm>
                    <a:prstGeom prst="rect">
                      <a:avLst/>
                    </a:prstGeom>
                    <a:noFill/>
                    <a:ln w="9525">
                      <a:noFill/>
                    </a:ln>
                  </pic:spPr>
                </pic:pic>
              </a:graphicData>
            </a:graphic>
          </wp:inline>
        </w:drawing>
      </w:r>
    </w:p>
    <w:p w14:paraId="186451FF">
      <w:pPr>
        <w:pStyle w:val="3"/>
      </w:pPr>
      <w:r>
        <w:rPr>
          <w:rFonts w:hint="eastAsia"/>
          <w:b/>
          <w:bCs/>
        </w:rPr>
        <w:t>角色授权</w:t>
      </w:r>
      <w:r>
        <w:rPr>
          <w:rFonts w:hint="eastAsia"/>
        </w:rPr>
        <w:t>：页面角色遵循所见即所得的设计思路，若要修改自定义的页面角色功能，则点击授权按钮，再勾选对应权限，提交即可。</w:t>
      </w:r>
      <w:r>
        <w:t xml:space="preserve"> </w:t>
      </w:r>
      <w:r>
        <w:drawing>
          <wp:inline distT="0" distB="0" distL="114300" distR="114300">
            <wp:extent cx="5277485" cy="4276725"/>
            <wp:effectExtent l="0" t="0" r="0" b="0"/>
            <wp:docPr id="7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descr="descript"/>
                    <pic:cNvPicPr>
                      <a:picLocks noChangeAspect="1" noChangeArrowheads="1"/>
                    </pic:cNvPicPr>
                  </pic:nvPicPr>
                  <pic:blipFill>
                    <a:blip r:embed="rId18"/>
                    <a:stretch>
                      <a:fillRect/>
                    </a:stretch>
                  </pic:blipFill>
                  <pic:spPr>
                    <a:xfrm>
                      <a:off x="0" y="0"/>
                      <a:ext cx="5277599" cy="4277332"/>
                    </a:xfrm>
                    <a:prstGeom prst="rect">
                      <a:avLst/>
                    </a:prstGeom>
                    <a:noFill/>
                    <a:ln w="9525">
                      <a:noFill/>
                    </a:ln>
                  </pic:spPr>
                </pic:pic>
              </a:graphicData>
            </a:graphic>
          </wp:inline>
        </w:drawing>
      </w:r>
    </w:p>
    <w:p w14:paraId="5083DC5F">
      <w:pPr>
        <w:pStyle w:val="13"/>
      </w:pPr>
      <w:r>
        <w:rPr>
          <w:rFonts w:hint="eastAsia"/>
          <w:b/>
          <w:bCs/>
        </w:rPr>
        <w:t>举例</w:t>
      </w:r>
    </w:p>
    <w:p w14:paraId="63AFE648">
      <w:pPr>
        <w:pStyle w:val="13"/>
      </w:pPr>
      <w:r>
        <w:rPr>
          <w:rFonts w:hint="eastAsia"/>
        </w:rPr>
        <w:t>若期货公司希望</w:t>
      </w:r>
      <w:r>
        <w:t xml:space="preserve"> </w:t>
      </w:r>
      <w:r>
        <w:rPr>
          <w:rFonts w:hint="eastAsia"/>
        </w:rPr>
        <w:t>北京营业部的客户经理看到系统功能有别于系统默认的客户经理页面，则可以进行如下操作：</w:t>
      </w:r>
    </w:p>
    <w:p w14:paraId="7CBAB63A">
      <w:pPr>
        <w:pStyle w:val="27"/>
        <w:numPr>
          <w:ilvl w:val="0"/>
          <w:numId w:val="1"/>
        </w:numPr>
      </w:pPr>
      <w:r>
        <w:rPr>
          <w:rFonts w:hint="eastAsia"/>
        </w:rPr>
        <w:t>自定义新增一个叫”北京客户经理”的页面角色：</w:t>
      </w:r>
    </w:p>
    <w:p w14:paraId="1A18A277">
      <w:pPr>
        <w:pStyle w:val="13"/>
      </w:pPr>
      <w:r>
        <w:drawing>
          <wp:inline distT="0" distB="0" distL="114300" distR="114300">
            <wp:extent cx="5334000" cy="3435985"/>
            <wp:effectExtent l="0" t="0" r="0" b="0"/>
            <wp:docPr id="7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descr="descript"/>
                    <pic:cNvPicPr>
                      <a:picLocks noChangeAspect="1" noChangeArrowheads="1"/>
                    </pic:cNvPicPr>
                  </pic:nvPicPr>
                  <pic:blipFill>
                    <a:blip r:embed="rId19"/>
                    <a:stretch>
                      <a:fillRect/>
                    </a:stretch>
                  </pic:blipFill>
                  <pic:spPr>
                    <a:xfrm>
                      <a:off x="0" y="0"/>
                      <a:ext cx="5334000" cy="3436326"/>
                    </a:xfrm>
                    <a:prstGeom prst="rect">
                      <a:avLst/>
                    </a:prstGeom>
                    <a:noFill/>
                    <a:ln w="9525">
                      <a:noFill/>
                    </a:ln>
                  </pic:spPr>
                </pic:pic>
              </a:graphicData>
            </a:graphic>
          </wp:inline>
        </w:drawing>
      </w:r>
    </w:p>
    <w:p w14:paraId="2BE2019A">
      <w:pPr>
        <w:pStyle w:val="13"/>
        <w:numPr>
          <w:ilvl w:val="0"/>
          <w:numId w:val="1"/>
        </w:numPr>
      </w:pPr>
      <w:r>
        <w:rPr>
          <w:rFonts w:hint="eastAsia"/>
        </w:rPr>
        <w:t>对”北京客户经理”授权相应的功能权限，保存；</w:t>
      </w:r>
    </w:p>
    <w:p w14:paraId="66117937">
      <w:pPr>
        <w:pStyle w:val="13"/>
        <w:numPr>
          <w:ilvl w:val="0"/>
          <w:numId w:val="1"/>
        </w:numPr>
      </w:pPr>
      <w:r>
        <w:rPr>
          <w:rFonts w:hint="eastAsia"/>
        </w:rPr>
        <w:t>最后在【用户管理】界面，将北京营业部客户经理账号的</w:t>
      </w:r>
      <w:r>
        <w:rPr>
          <w:rFonts w:hint="eastAsia"/>
          <w:b/>
          <w:bCs/>
        </w:rPr>
        <w:t>页面权限</w:t>
      </w:r>
      <w:r>
        <w:rPr>
          <w:rFonts w:hint="eastAsia"/>
        </w:rPr>
        <w:t>改成北京客户经理即可；</w:t>
      </w:r>
    </w:p>
    <w:p w14:paraId="1479FF50">
      <w:pPr>
        <w:pStyle w:val="13"/>
      </w:pPr>
      <w:r>
        <w:drawing>
          <wp:inline distT="0" distB="0" distL="114300" distR="114300">
            <wp:extent cx="5334000" cy="4222115"/>
            <wp:effectExtent l="0" t="0" r="0" b="0"/>
            <wp:docPr id="8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descr="descript"/>
                    <pic:cNvPicPr>
                      <a:picLocks noChangeAspect="1" noChangeArrowheads="1"/>
                    </pic:cNvPicPr>
                  </pic:nvPicPr>
                  <pic:blipFill>
                    <a:blip r:embed="rId20"/>
                    <a:stretch>
                      <a:fillRect/>
                    </a:stretch>
                  </pic:blipFill>
                  <pic:spPr>
                    <a:xfrm>
                      <a:off x="0" y="0"/>
                      <a:ext cx="5334000" cy="4222257"/>
                    </a:xfrm>
                    <a:prstGeom prst="rect">
                      <a:avLst/>
                    </a:prstGeom>
                    <a:noFill/>
                    <a:ln w="9525">
                      <a:noFill/>
                    </a:ln>
                  </pic:spPr>
                </pic:pic>
              </a:graphicData>
            </a:graphic>
          </wp:inline>
        </w:drawing>
      </w:r>
    </w:p>
    <w:p w14:paraId="359BCCFD">
      <w:pPr>
        <w:pStyle w:val="13"/>
      </w:pPr>
      <w:r>
        <w:rPr>
          <w:rFonts w:hint="eastAsia"/>
        </w:rPr>
        <w:t>权限相关概念解释</w:t>
      </w:r>
      <w:r>
        <w:t xml:space="preserve"> &gt; &gt;1) </w:t>
      </w:r>
      <w:r>
        <w:rPr>
          <w:rFonts w:hint="eastAsia"/>
          <w:b/>
          <w:bCs/>
        </w:rPr>
        <w:t>用户</w:t>
      </w:r>
      <w:r>
        <w:t xml:space="preserve">: </w:t>
      </w:r>
      <w:r>
        <w:rPr>
          <w:rFonts w:hint="eastAsia"/>
        </w:rPr>
        <w:t>是指登录使用知客的操作用户。通俗来说就是期货公司员工。</w:t>
      </w:r>
      <w:r>
        <w:t xml:space="preserve"> &gt;2) </w:t>
      </w:r>
      <w:r>
        <w:rPr>
          <w:rFonts w:hint="eastAsia"/>
          <w:b/>
          <w:bCs/>
        </w:rPr>
        <w:t>页面角色</w:t>
      </w:r>
      <w:r>
        <w:t xml:space="preserve">: </w:t>
      </w:r>
      <w:r>
        <w:rPr>
          <w:rFonts w:hint="eastAsia"/>
        </w:rPr>
        <w:t>一个权限操作的集合。一个角色包含了N多种菜单,按钮之类的功能。通俗来说：就是知客程序上每个菜单,按钮,甚至某些字段的显示与否,能否点击等功能集合。</w:t>
      </w:r>
      <w:r>
        <w:t xml:space="preserve"> &gt;3) </w:t>
      </w:r>
      <w:r>
        <w:rPr>
          <w:rFonts w:hint="eastAsia"/>
          <w:b/>
          <w:bCs/>
        </w:rPr>
        <w:t>资源</w:t>
      </w:r>
      <w:r>
        <w:rPr>
          <w:rFonts w:hint="eastAsia"/>
        </w:rPr>
        <w:t>:知客上面的每个功能点,字段等定义为一个资源。</w:t>
      </w:r>
      <w:r>
        <w:t xml:space="preserve"> &gt;4) </w:t>
      </w:r>
      <w:r>
        <w:rPr>
          <w:rFonts w:hint="eastAsia"/>
          <w:b/>
          <w:bCs/>
        </w:rPr>
        <w:t>角色类型</w:t>
      </w:r>
      <w:r>
        <w:rPr>
          <w:rFonts w:hint="eastAsia"/>
        </w:rPr>
        <w:t>：一共有三种角色类型，分别为：客户经理，部门经理，总部管理人员。与数据权限一一对应。</w:t>
      </w:r>
      <w:r>
        <w:t xml:space="preserve"> &gt;5) </w:t>
      </w:r>
      <w:r>
        <w:rPr>
          <w:rFonts w:hint="eastAsia"/>
        </w:rPr>
        <w:t>一个角色类型可以包含多个角色。每个角色类型会对应一个默认的角色。可以在【用户管理】中修改某个角色类型对应角色。知客用户登录后，根据对应的用户类型获取对应的页面角色。若同时拥有多个用户类型，则取对应角色权限集合的并集。</w:t>
      </w:r>
      <w:r>
        <w:t xml:space="preserve"> &gt;6) </w:t>
      </w:r>
      <w:r>
        <w:rPr>
          <w:rFonts w:hint="eastAsia"/>
        </w:rPr>
        <w:t>用户角色调整后，需要重新退出，然后登录知客。</w:t>
      </w:r>
      <w:r>
        <w:t xml:space="preserve"> &gt;</w:t>
      </w:r>
    </w:p>
    <w:bookmarkEnd w:id="35"/>
    <w:p w14:paraId="5F2E60AF">
      <w:pPr>
        <w:pStyle w:val="5"/>
      </w:pPr>
      <w:bookmarkStart w:id="36" w:name="_Toc24347"/>
      <w:bookmarkStart w:id="37" w:name="版本信息管理"/>
      <w:r>
        <w:t xml:space="preserve">3. </w:t>
      </w:r>
      <w:r>
        <w:rPr>
          <w:rFonts w:hint="eastAsia"/>
        </w:rPr>
        <w:t>版本信息管理</w:t>
      </w:r>
      <w:bookmarkEnd w:id="36"/>
    </w:p>
    <w:p w14:paraId="509EDB13">
      <w:pPr>
        <w:pStyle w:val="26"/>
      </w:pPr>
      <w:r>
        <w:rPr>
          <w:rFonts w:hint="eastAsia"/>
        </w:rPr>
        <w:t>用于维护【关于】中的版本信息；</w:t>
      </w:r>
    </w:p>
    <w:p w14:paraId="6E1C717C">
      <w:pPr>
        <w:pStyle w:val="3"/>
      </w:pPr>
      <w:r>
        <w:drawing>
          <wp:inline distT="0" distB="0" distL="114300" distR="114300">
            <wp:extent cx="5334000" cy="2297430"/>
            <wp:effectExtent l="0" t="0" r="0" b="0"/>
            <wp:docPr id="8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descr="descript"/>
                    <pic:cNvPicPr>
                      <a:picLocks noChangeAspect="1" noChangeArrowheads="1"/>
                    </pic:cNvPicPr>
                  </pic:nvPicPr>
                  <pic:blipFill>
                    <a:blip r:embed="rId21"/>
                    <a:stretch>
                      <a:fillRect/>
                    </a:stretch>
                  </pic:blipFill>
                  <pic:spPr>
                    <a:xfrm>
                      <a:off x="0" y="0"/>
                      <a:ext cx="5334000" cy="2297579"/>
                    </a:xfrm>
                    <a:prstGeom prst="rect">
                      <a:avLst/>
                    </a:prstGeom>
                    <a:noFill/>
                    <a:ln w="9525">
                      <a:noFill/>
                    </a:ln>
                  </pic:spPr>
                </pic:pic>
              </a:graphicData>
            </a:graphic>
          </wp:inline>
        </w:drawing>
      </w:r>
    </w:p>
    <w:bookmarkEnd w:id="31"/>
    <w:bookmarkEnd w:id="37"/>
    <w:p w14:paraId="508B00FB">
      <w:pPr>
        <w:pStyle w:val="4"/>
      </w:pPr>
      <w:bookmarkStart w:id="38" w:name="_Toc5786"/>
      <w:bookmarkStart w:id="39" w:name="七配置管理"/>
      <w:r>
        <w:rPr>
          <w:rFonts w:hint="eastAsia"/>
        </w:rPr>
        <w:t>七、配置管理</w:t>
      </w:r>
      <w:bookmarkEnd w:id="38"/>
    </w:p>
    <w:p w14:paraId="14E09FCC">
      <w:pPr>
        <w:pStyle w:val="26"/>
      </w:pPr>
      <w:r>
        <w:rPr>
          <w:rFonts w:hint="eastAsia"/>
        </w:rPr>
        <w:t>此模块用于知客小程序前端的一些展示配置，例如是否允许使用手机号进行登录等。若有个性化需求，请联系系统供应商，由德索系统运维人员进行配置。</w:t>
      </w:r>
    </w:p>
    <w:p w14:paraId="366521BA">
      <w:pPr>
        <w:pStyle w:val="3"/>
      </w:pPr>
      <w:r>
        <w:rPr>
          <w:rFonts w:hint="eastAsia"/>
        </w:rPr>
        <w:t>下面是对一些配置项的解释：</w:t>
      </w: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71E9946B">
        <w:tblPrEx>
          <w:tblCellMar>
            <w:top w:w="0" w:type="dxa"/>
            <w:left w:w="108" w:type="dxa"/>
            <w:bottom w:w="0" w:type="dxa"/>
            <w:right w:w="108" w:type="dxa"/>
          </w:tblCellMar>
        </w:tblPrEx>
        <w:trPr>
          <w:tblHeader/>
        </w:trPr>
        <w:tc>
          <w:p w14:paraId="47986321">
            <w:pPr>
              <w:pStyle w:val="27"/>
            </w:pPr>
            <w:r>
              <w:rPr>
                <w:rFonts w:hint="eastAsia"/>
              </w:rPr>
              <w:t>配置项及含义</w:t>
            </w:r>
          </w:p>
        </w:tc>
        <w:tc>
          <w:p w14:paraId="6050A76B">
            <w:pPr>
              <w:pStyle w:val="27"/>
            </w:pPr>
            <w:r>
              <w:rPr>
                <w:rFonts w:hint="eastAsia"/>
              </w:rPr>
              <w:t>配置项值</w:t>
            </w:r>
          </w:p>
        </w:tc>
        <w:tc>
          <w:p w14:paraId="0C67EA2F">
            <w:pPr>
              <w:pStyle w:val="27"/>
            </w:pPr>
            <w:r>
              <w:rPr>
                <w:rFonts w:hint="eastAsia"/>
              </w:rPr>
              <w:t>值描述及影响范围</w:t>
            </w:r>
          </w:p>
        </w:tc>
      </w:tr>
      <w:tr w14:paraId="5C906E3B">
        <w:tblPrEx>
          <w:tblCellMar>
            <w:top w:w="0" w:type="dxa"/>
            <w:left w:w="108" w:type="dxa"/>
            <w:bottom w:w="0" w:type="dxa"/>
            <w:right w:w="108" w:type="dxa"/>
          </w:tblCellMar>
        </w:tblPrEx>
        <w:tc>
          <w:p w14:paraId="4EB0FB32">
            <w:pPr>
              <w:pStyle w:val="27"/>
            </w:pPr>
            <w:r>
              <w:t>bind_wx</w:t>
            </w:r>
            <w:r>
              <w:rPr>
                <w:rFonts w:hint="eastAsia"/>
              </w:rPr>
              <w:t>绑定微信功能</w:t>
            </w:r>
          </w:p>
        </w:tc>
        <w:tc>
          <w:p w14:paraId="51C69F50">
            <w:pPr>
              <w:pStyle w:val="27"/>
            </w:pPr>
            <w:r>
              <w:rPr>
                <w:rFonts w:hint="eastAsia"/>
              </w:rPr>
              <w:t>1(默认)</w:t>
            </w:r>
          </w:p>
        </w:tc>
        <w:tc>
          <w:p w14:paraId="4B91542A">
            <w:pPr>
              <w:pStyle w:val="27"/>
            </w:pPr>
            <w:r>
              <w:rPr>
                <w:rFonts w:hint="eastAsia"/>
              </w:rPr>
              <w:t>是否启用绑定微信功能，0不启用，其他都启用</w:t>
            </w:r>
          </w:p>
        </w:tc>
      </w:tr>
      <w:tr w14:paraId="6567E151">
        <w:tblPrEx>
          <w:tblCellMar>
            <w:top w:w="0" w:type="dxa"/>
            <w:left w:w="108" w:type="dxa"/>
            <w:bottom w:w="0" w:type="dxa"/>
            <w:right w:w="108" w:type="dxa"/>
          </w:tblCellMar>
        </w:tblPrEx>
        <w:tc>
          <w:p w14:paraId="184594DE">
            <w:pPr>
              <w:pStyle w:val="27"/>
            </w:pPr>
            <w:r>
              <w:t>channelV2_msg_wx_textcard_url</w:t>
            </w:r>
            <w:r>
              <w:rPr>
                <w:rFonts w:hint="eastAsia"/>
              </w:rPr>
              <w:t>渠道V2的企微卡片消息回跳url</w:t>
            </w:r>
          </w:p>
        </w:tc>
        <w:tc>
          <w:p w14:paraId="79993E60">
            <w:pPr>
              <w:pStyle w:val="27"/>
            </w:pPr>
            <w:r>
              <w:rPr>
                <w:rFonts w:hint="eastAsia"/>
              </w:rPr>
              <w:t>由开发配置</w:t>
            </w:r>
          </w:p>
        </w:tc>
        <w:tc>
          <w:p w14:paraId="4D1B7A14">
            <w:pPr>
              <w:pStyle w:val="27"/>
            </w:pPr>
            <w:r>
              <w:rPr>
                <w:rFonts w:hint="eastAsia"/>
              </w:rPr>
              <w:t>渠道消息详情跳转地址</w:t>
            </w:r>
          </w:p>
        </w:tc>
      </w:tr>
      <w:tr w14:paraId="6C6DCB96">
        <w:tblPrEx>
          <w:tblCellMar>
            <w:top w:w="0" w:type="dxa"/>
            <w:left w:w="108" w:type="dxa"/>
            <w:bottom w:w="0" w:type="dxa"/>
            <w:right w:w="108" w:type="dxa"/>
          </w:tblCellMar>
        </w:tblPrEx>
        <w:tc>
          <w:p w14:paraId="77AD9787">
            <w:pPr>
              <w:pStyle w:val="27"/>
            </w:pPr>
            <w:r>
              <w:t>channel_version</w:t>
            </w:r>
            <w:r>
              <w:rPr>
                <w:rFonts w:hint="eastAsia"/>
              </w:rPr>
              <w:t>渠道版本</w:t>
            </w:r>
          </w:p>
        </w:tc>
        <w:tc>
          <w:p w14:paraId="34F9412B">
            <w:pPr>
              <w:pStyle w:val="27"/>
            </w:pPr>
            <w:r>
              <w:rPr>
                <w:rFonts w:hint="eastAsia"/>
              </w:rPr>
              <w:t>0(默认)</w:t>
            </w:r>
          </w:p>
        </w:tc>
        <w:tc>
          <w:p w14:paraId="17BAF224">
            <w:pPr>
              <w:pStyle w:val="27"/>
            </w:pPr>
            <w:r>
              <w:rPr>
                <w:rFonts w:hint="eastAsia"/>
              </w:rPr>
              <w:t>投资咨询系统总开关，需要客户部署了投资咨询系统（0-关，1-开）</w:t>
            </w:r>
          </w:p>
        </w:tc>
      </w:tr>
      <w:tr w14:paraId="40493CD4">
        <w:tblPrEx>
          <w:tblCellMar>
            <w:top w:w="0" w:type="dxa"/>
            <w:left w:w="108" w:type="dxa"/>
            <w:bottom w:w="0" w:type="dxa"/>
            <w:right w:w="108" w:type="dxa"/>
          </w:tblCellMar>
        </w:tblPrEx>
        <w:tc>
          <w:p w14:paraId="18A5A13D">
            <w:pPr>
              <w:pStyle w:val="27"/>
            </w:pPr>
            <w:r>
              <w:t>consult_enable</w:t>
            </w:r>
            <w:r>
              <w:rPr>
                <w:rFonts w:hint="eastAsia"/>
              </w:rPr>
              <w:t>投资咨询功能开关</w:t>
            </w:r>
          </w:p>
        </w:tc>
        <w:tc>
          <w:p w14:paraId="7A551E95">
            <w:pPr>
              <w:pStyle w:val="27"/>
            </w:pPr>
            <w:r>
              <w:rPr>
                <w:rFonts w:hint="eastAsia"/>
              </w:rPr>
              <w:t>V1(默认)</w:t>
            </w:r>
          </w:p>
        </w:tc>
        <w:tc>
          <w:p w14:paraId="4E9BC272">
            <w:pPr>
              <w:pStyle w:val="27"/>
            </w:pPr>
            <w:r>
              <w:rPr>
                <w:rFonts w:hint="eastAsia"/>
              </w:rPr>
              <w:t>V1,V2。渠道切换版本需要和知客运维同事确认。</w:t>
            </w:r>
          </w:p>
        </w:tc>
      </w:tr>
      <w:tr w14:paraId="41C5C4E6">
        <w:tblPrEx>
          <w:tblCellMar>
            <w:top w:w="0" w:type="dxa"/>
            <w:left w:w="108" w:type="dxa"/>
            <w:bottom w:w="0" w:type="dxa"/>
            <w:right w:w="108" w:type="dxa"/>
          </w:tblCellMar>
        </w:tblPrEx>
        <w:tc>
          <w:p w14:paraId="3B3C1B8C">
            <w:pPr>
              <w:pStyle w:val="27"/>
            </w:pPr>
            <w:r>
              <w:t>consult_url</w:t>
            </w:r>
            <w:r>
              <w:rPr>
                <w:rFonts w:hint="eastAsia"/>
              </w:rPr>
              <w:t>交易咨询系统的外跳url</w:t>
            </w:r>
          </w:p>
        </w:tc>
        <w:tc>
          <w:p w14:paraId="60C508E4">
            <w:pPr>
              <w:pStyle w:val="27"/>
            </w:pPr>
            <w:r>
              <w:rPr>
                <w:rFonts w:hint="eastAsia"/>
              </w:rPr>
              <w:t>由开发配置</w:t>
            </w:r>
          </w:p>
        </w:tc>
        <w:tc>
          <w:p w14:paraId="54F30453">
            <w:pPr>
              <w:pStyle w:val="27"/>
            </w:pPr>
            <w:r>
              <w:rPr>
                <w:rFonts w:hint="eastAsia"/>
              </w:rPr>
              <w:t>对接了交易咨询系统后才需要配置</w:t>
            </w:r>
          </w:p>
        </w:tc>
      </w:tr>
      <w:tr w14:paraId="5B6D619D">
        <w:tblPrEx>
          <w:tblCellMar>
            <w:top w:w="0" w:type="dxa"/>
            <w:left w:w="108" w:type="dxa"/>
            <w:bottom w:w="0" w:type="dxa"/>
            <w:right w:w="108" w:type="dxa"/>
          </w:tblCellMar>
        </w:tblPrEx>
        <w:tc>
          <w:p w14:paraId="439B64BE">
            <w:pPr>
              <w:pStyle w:val="27"/>
            </w:pPr>
            <w:r>
              <w:t>custinfo_data_desc</w:t>
            </w:r>
            <w:r>
              <w:rPr>
                <w:rFonts w:hint="eastAsia"/>
              </w:rPr>
              <w:t>客户详情数据文字描述</w:t>
            </w:r>
          </w:p>
        </w:tc>
        <w:tc>
          <w:p w14:paraId="30D3BA68">
            <w:pPr>
              <w:pStyle w:val="27"/>
            </w:pPr>
            <w:r>
              <w:rPr>
                <w:rFonts w:hint="eastAsia"/>
              </w:rPr>
              <w:t>仅统计期货数据，更新于</w:t>
            </w:r>
          </w:p>
        </w:tc>
        <w:tc>
          <w:p w14:paraId="6F3183DE">
            <w:pPr>
              <w:pStyle w:val="27"/>
            </w:pPr>
            <w:r>
              <w:rPr>
                <w:rFonts w:hint="eastAsia"/>
              </w:rPr>
              <w:t>客户详情数据文字描述</w:t>
            </w:r>
          </w:p>
        </w:tc>
      </w:tr>
      <w:tr w14:paraId="5F5C47BF">
        <w:tblPrEx>
          <w:tblCellMar>
            <w:top w:w="0" w:type="dxa"/>
            <w:left w:w="108" w:type="dxa"/>
            <w:bottom w:w="0" w:type="dxa"/>
            <w:right w:w="108" w:type="dxa"/>
          </w:tblCellMar>
        </w:tblPrEx>
        <w:tc>
          <w:p w14:paraId="23865FA3">
            <w:pPr>
              <w:pStyle w:val="27"/>
            </w:pPr>
            <w:r>
              <w:t>default_login_type</w:t>
            </w:r>
            <w:r>
              <w:rPr>
                <w:rFonts w:hint="eastAsia"/>
              </w:rPr>
              <w:t>默认登录方式</w:t>
            </w:r>
          </w:p>
        </w:tc>
        <w:tc>
          <w:p w14:paraId="6271EAE7">
            <w:pPr>
              <w:pStyle w:val="27"/>
            </w:pPr>
            <w:r>
              <w:rPr>
                <w:rFonts w:hint="eastAsia"/>
              </w:rPr>
              <w:t>0(默认)</w:t>
            </w:r>
          </w:p>
        </w:tc>
        <w:tc>
          <w:p w14:paraId="6453EB68">
            <w:pPr>
              <w:pStyle w:val="27"/>
            </w:pPr>
            <w:r>
              <w:rPr>
                <w:rFonts w:hint="eastAsia"/>
              </w:rPr>
              <w:t>0：为账号密码登录，is_phone_login为1，并且default_login_type为1的时候默认手机号登录</w:t>
            </w:r>
          </w:p>
        </w:tc>
      </w:tr>
      <w:tr w14:paraId="0AB54B44">
        <w:tblPrEx>
          <w:tblCellMar>
            <w:top w:w="0" w:type="dxa"/>
            <w:left w:w="108" w:type="dxa"/>
            <w:bottom w:w="0" w:type="dxa"/>
            <w:right w:w="108" w:type="dxa"/>
          </w:tblCellMar>
        </w:tblPrEx>
        <w:tc>
          <w:p w14:paraId="1758EEEF">
            <w:pPr>
              <w:pStyle w:val="27"/>
            </w:pPr>
            <w:r>
              <w:t>desensitize.isBrokerService</w:t>
            </w:r>
            <w:r>
              <w:rPr>
                <w:rFonts w:hint="eastAsia"/>
              </w:rPr>
              <w:t>脱敏开关：居间开发客户是否脱敏</w:t>
            </w:r>
          </w:p>
        </w:tc>
        <w:tc>
          <w:p w14:paraId="2434FFB5">
            <w:pPr>
              <w:pStyle w:val="27"/>
            </w:pPr>
            <w:r>
              <w:rPr>
                <w:rFonts w:hint="eastAsia"/>
              </w:rPr>
              <w:t>1(默认)</w:t>
            </w:r>
          </w:p>
        </w:tc>
        <w:tc>
          <w:p w14:paraId="617E6A81">
            <w:pPr>
              <w:pStyle w:val="27"/>
            </w:pPr>
            <w:r>
              <w:rPr>
                <w:rFonts w:hint="eastAsia"/>
              </w:rPr>
              <w:t>0-不脱敏，1脱敏</w:t>
            </w:r>
          </w:p>
        </w:tc>
      </w:tr>
      <w:tr w14:paraId="2FCEF5AD">
        <w:tblPrEx>
          <w:tblCellMar>
            <w:top w:w="0" w:type="dxa"/>
            <w:left w:w="108" w:type="dxa"/>
            <w:bottom w:w="0" w:type="dxa"/>
            <w:right w:w="108" w:type="dxa"/>
          </w:tblCellMar>
        </w:tblPrEx>
        <w:tc>
          <w:p w14:paraId="31B7EBC1">
            <w:pPr>
              <w:pStyle w:val="27"/>
            </w:pPr>
            <w:r>
              <w:t>desensitize.isDeptService</w:t>
            </w:r>
            <w:r>
              <w:rPr>
                <w:rFonts w:hint="eastAsia"/>
              </w:rPr>
              <w:t>脱敏开关：部门客户客户是否脱敏</w:t>
            </w:r>
          </w:p>
        </w:tc>
        <w:tc>
          <w:p w14:paraId="397EC77C">
            <w:pPr>
              <w:pStyle w:val="27"/>
            </w:pPr>
            <w:r>
              <w:rPr>
                <w:rFonts w:hint="eastAsia"/>
              </w:rPr>
              <w:t>1(默认)</w:t>
            </w:r>
          </w:p>
        </w:tc>
        <w:tc>
          <w:p w14:paraId="2F2D0C11">
            <w:pPr>
              <w:pStyle w:val="27"/>
            </w:pPr>
            <w:r>
              <w:rPr>
                <w:rFonts w:hint="eastAsia"/>
              </w:rPr>
              <w:t>0-不脱敏，1脱敏</w:t>
            </w:r>
          </w:p>
        </w:tc>
      </w:tr>
      <w:tr w14:paraId="3971E547">
        <w:tblPrEx>
          <w:tblCellMar>
            <w:top w:w="0" w:type="dxa"/>
            <w:left w:w="108" w:type="dxa"/>
            <w:bottom w:w="0" w:type="dxa"/>
            <w:right w:w="108" w:type="dxa"/>
          </w:tblCellMar>
        </w:tblPrEx>
        <w:tc>
          <w:p w14:paraId="5737DE33">
            <w:pPr>
              <w:pStyle w:val="27"/>
            </w:pPr>
            <w:r>
              <w:t>desensitize.isDeptbrokerService</w:t>
            </w:r>
            <w:r>
              <w:rPr>
                <w:rFonts w:hint="eastAsia"/>
              </w:rPr>
              <w:t>脱敏开关：部门居间开发客户是否脱敏</w:t>
            </w:r>
          </w:p>
        </w:tc>
        <w:tc>
          <w:p w14:paraId="49B14EE8">
            <w:pPr>
              <w:pStyle w:val="27"/>
            </w:pPr>
            <w:r>
              <w:rPr>
                <w:rFonts w:hint="eastAsia"/>
              </w:rPr>
              <w:t>1(默认)</w:t>
            </w:r>
          </w:p>
        </w:tc>
        <w:tc>
          <w:p w14:paraId="6F919D68">
            <w:pPr>
              <w:pStyle w:val="27"/>
            </w:pPr>
            <w:r>
              <w:rPr>
                <w:rFonts w:hint="eastAsia"/>
              </w:rPr>
              <w:t>0-不脱敏，1脱敏</w:t>
            </w:r>
          </w:p>
        </w:tc>
      </w:tr>
      <w:tr w14:paraId="580BCE11">
        <w:tblPrEx>
          <w:tblCellMar>
            <w:top w:w="0" w:type="dxa"/>
            <w:left w:w="108" w:type="dxa"/>
            <w:bottom w:w="0" w:type="dxa"/>
            <w:right w:w="108" w:type="dxa"/>
          </w:tblCellMar>
        </w:tblPrEx>
        <w:tc>
          <w:p w14:paraId="10405BEA">
            <w:pPr>
              <w:pStyle w:val="27"/>
            </w:pPr>
            <w:r>
              <w:t>desensitize.isDirectService</w:t>
            </w:r>
            <w:r>
              <w:rPr>
                <w:rFonts w:hint="eastAsia"/>
              </w:rPr>
              <w:t>脱敏开关：直接开发客户是否脱敏</w:t>
            </w:r>
          </w:p>
        </w:tc>
        <w:tc>
          <w:p w14:paraId="6F132872">
            <w:pPr>
              <w:pStyle w:val="27"/>
            </w:pPr>
            <w:r>
              <w:rPr>
                <w:rFonts w:hint="eastAsia"/>
              </w:rPr>
              <w:t>1(默认)</w:t>
            </w:r>
          </w:p>
        </w:tc>
        <w:tc>
          <w:p w14:paraId="7DA265E6">
            <w:pPr>
              <w:pStyle w:val="27"/>
            </w:pPr>
            <w:r>
              <w:rPr>
                <w:rFonts w:hint="eastAsia"/>
              </w:rPr>
              <w:t>0-不脱敏，1脱敏</w:t>
            </w:r>
          </w:p>
        </w:tc>
      </w:tr>
      <w:tr w14:paraId="2E6032F5">
        <w:tblPrEx>
          <w:tblCellMar>
            <w:top w:w="0" w:type="dxa"/>
            <w:left w:w="108" w:type="dxa"/>
            <w:bottom w:w="0" w:type="dxa"/>
            <w:right w:w="108" w:type="dxa"/>
          </w:tblCellMar>
        </w:tblPrEx>
        <w:tc>
          <w:p w14:paraId="4F958669">
            <w:pPr>
              <w:pStyle w:val="27"/>
            </w:pPr>
            <w:r>
              <w:t>desensitize.isSalesmanService</w:t>
            </w:r>
            <w:r>
              <w:rPr>
                <w:rFonts w:hint="eastAsia"/>
              </w:rPr>
              <w:t>脱敏开关：部门业务经理直接开发客户是否脱敏</w:t>
            </w:r>
          </w:p>
        </w:tc>
        <w:tc>
          <w:p w14:paraId="4833E901">
            <w:pPr>
              <w:pStyle w:val="27"/>
            </w:pPr>
            <w:r>
              <w:rPr>
                <w:rFonts w:hint="eastAsia"/>
              </w:rPr>
              <w:t>1(默认)</w:t>
            </w:r>
          </w:p>
        </w:tc>
        <w:tc>
          <w:p w14:paraId="0FDADA7A">
            <w:pPr>
              <w:pStyle w:val="27"/>
            </w:pPr>
            <w:r>
              <w:rPr>
                <w:rFonts w:hint="eastAsia"/>
              </w:rPr>
              <w:t>0-不脱敏，1脱敏</w:t>
            </w:r>
          </w:p>
        </w:tc>
      </w:tr>
      <w:tr w14:paraId="55F60C30">
        <w:tblPrEx>
          <w:tblCellMar>
            <w:top w:w="0" w:type="dxa"/>
            <w:left w:w="108" w:type="dxa"/>
            <w:bottom w:w="0" w:type="dxa"/>
            <w:right w:w="108" w:type="dxa"/>
          </w:tblCellMar>
        </w:tblPrEx>
        <w:tc>
          <w:p w14:paraId="3711C997">
            <w:pPr>
              <w:pStyle w:val="27"/>
            </w:pPr>
            <w:r>
              <w:t>first_time_login_notice</w:t>
            </w:r>
            <w:r>
              <w:rPr>
                <w:rFonts w:hint="eastAsia"/>
              </w:rPr>
              <w:t>首次登录提醒开关</w:t>
            </w:r>
          </w:p>
        </w:tc>
        <w:tc>
          <w:p w14:paraId="2CFAE270">
            <w:pPr>
              <w:pStyle w:val="27"/>
            </w:pPr>
            <w:r>
              <w:rPr>
                <w:rFonts w:hint="eastAsia"/>
              </w:rPr>
              <w:t>1(默认)</w:t>
            </w:r>
          </w:p>
        </w:tc>
        <w:tc>
          <w:p w14:paraId="443A7C51">
            <w:pPr>
              <w:pStyle w:val="27"/>
            </w:pPr>
            <w:r>
              <w:rPr>
                <w:rFonts w:hint="eastAsia"/>
              </w:rPr>
              <w:t>1:开启首次登录提醒</w:t>
            </w:r>
            <w:r>
              <w:t xml:space="preserve"> </w:t>
            </w:r>
            <w:r>
              <w:rPr>
                <w:rFonts w:hint="eastAsia"/>
              </w:rPr>
              <w:t>0：未开启</w:t>
            </w:r>
          </w:p>
        </w:tc>
      </w:tr>
      <w:tr w14:paraId="568374EF">
        <w:tblPrEx>
          <w:tblCellMar>
            <w:top w:w="0" w:type="dxa"/>
            <w:left w:w="108" w:type="dxa"/>
            <w:bottom w:w="0" w:type="dxa"/>
            <w:right w:w="108" w:type="dxa"/>
          </w:tblCellMar>
        </w:tblPrEx>
        <w:tc>
          <w:p w14:paraId="56E3F326">
            <w:pPr>
              <w:pStyle w:val="27"/>
            </w:pPr>
            <w:r>
              <w:t>first_time_login_notice_content</w:t>
            </w:r>
            <w:r>
              <w:rPr>
                <w:rFonts w:hint="eastAsia"/>
              </w:rPr>
              <w:t>首次登录提醒内容</w:t>
            </w:r>
          </w:p>
        </w:tc>
        <w:tc>
          <w:p w14:paraId="394AE2C3">
            <w:pPr>
              <w:pStyle w:val="27"/>
            </w:pPr>
            <w:r>
              <w:rPr>
                <w:rFonts w:hint="eastAsia"/>
              </w:rPr>
              <w:t>一般为保密协议</w:t>
            </w:r>
          </w:p>
        </w:tc>
        <w:tc>
          <w:p w14:paraId="530E409A">
            <w:pPr>
              <w:pStyle w:val="27"/>
            </w:pPr>
            <w:r>
              <w:rPr>
                <w:rFonts w:hint="eastAsia"/>
              </w:rPr>
              <w:t>首次登录提醒内容</w:t>
            </w:r>
          </w:p>
        </w:tc>
      </w:tr>
      <w:tr w14:paraId="41BFF1A1">
        <w:tblPrEx>
          <w:tblCellMar>
            <w:top w:w="0" w:type="dxa"/>
            <w:left w:w="108" w:type="dxa"/>
            <w:bottom w:w="0" w:type="dxa"/>
            <w:right w:w="108" w:type="dxa"/>
          </w:tblCellMar>
        </w:tblPrEx>
        <w:tc>
          <w:p w14:paraId="4F9E6255">
            <w:pPr>
              <w:pStyle w:val="27"/>
            </w:pPr>
            <w:r>
              <w:t>idx_audit</w:t>
            </w:r>
            <w:r>
              <w:rPr>
                <w:rFonts w:hint="eastAsia"/>
              </w:rPr>
              <w:t>业务审批功能是否在首页显示</w:t>
            </w:r>
          </w:p>
        </w:tc>
        <w:tc>
          <w:p w14:paraId="5C7C4380">
            <w:pPr>
              <w:pStyle w:val="27"/>
            </w:pPr>
            <w:r>
              <w:rPr>
                <w:rFonts w:hint="eastAsia"/>
              </w:rPr>
              <w:t>1(默认)</w:t>
            </w:r>
          </w:p>
        </w:tc>
        <w:tc>
          <w:p w14:paraId="221AF58B">
            <w:pPr>
              <w:pStyle w:val="27"/>
            </w:pPr>
            <w:r>
              <w:rPr>
                <w:rFonts w:hint="eastAsia"/>
              </w:rPr>
              <w:t>1显示，0不显示</w:t>
            </w:r>
          </w:p>
        </w:tc>
      </w:tr>
      <w:tr w14:paraId="5ED9519B">
        <w:tblPrEx>
          <w:tblCellMar>
            <w:top w:w="0" w:type="dxa"/>
            <w:left w:w="108" w:type="dxa"/>
            <w:bottom w:w="0" w:type="dxa"/>
            <w:right w:w="108" w:type="dxa"/>
          </w:tblCellMar>
        </w:tblPrEx>
        <w:tc>
          <w:p w14:paraId="380ABA0A">
            <w:pPr>
              <w:pStyle w:val="27"/>
            </w:pPr>
            <w:r>
              <w:t>is_need_encrypt</w:t>
            </w:r>
            <w:r>
              <w:rPr>
                <w:rFonts w:hint="eastAsia"/>
              </w:rPr>
              <w:t>数据传输是否需要加密</w:t>
            </w:r>
          </w:p>
        </w:tc>
        <w:tc>
          <w:p w14:paraId="1583D260">
            <w:pPr>
              <w:pStyle w:val="27"/>
            </w:pPr>
            <w:r>
              <w:rPr>
                <w:rFonts w:hint="eastAsia"/>
              </w:rPr>
              <w:t>1(默认)</w:t>
            </w:r>
          </w:p>
        </w:tc>
        <w:tc>
          <w:p w14:paraId="4A78FB32">
            <w:pPr>
              <w:pStyle w:val="27"/>
            </w:pPr>
            <w:r>
              <w:rPr>
                <w:rFonts w:hint="eastAsia"/>
              </w:rPr>
              <w:t>服务端与前端通讯的数据传输是否需要加密(0：不需要，1：需要)</w:t>
            </w:r>
          </w:p>
        </w:tc>
      </w:tr>
      <w:tr w14:paraId="7FFE2204">
        <w:tblPrEx>
          <w:tblCellMar>
            <w:top w:w="0" w:type="dxa"/>
            <w:left w:w="108" w:type="dxa"/>
            <w:bottom w:w="0" w:type="dxa"/>
            <w:right w:w="108" w:type="dxa"/>
          </w:tblCellMar>
        </w:tblPrEx>
        <w:tc>
          <w:p w14:paraId="28273C21">
            <w:pPr>
              <w:pStyle w:val="27"/>
            </w:pPr>
            <w:r>
              <w:t>is_phone_login</w:t>
            </w:r>
            <w:r>
              <w:rPr>
                <w:rFonts w:hint="eastAsia"/>
              </w:rPr>
              <w:t>是否开启手机号+验证码登录</w:t>
            </w:r>
          </w:p>
        </w:tc>
        <w:tc>
          <w:p w14:paraId="5A926B23">
            <w:pPr>
              <w:pStyle w:val="27"/>
            </w:pPr>
            <w:r>
              <w:rPr>
                <w:rFonts w:hint="eastAsia"/>
              </w:rPr>
              <w:t>1(默认)</w:t>
            </w:r>
          </w:p>
        </w:tc>
        <w:tc>
          <w:p w14:paraId="464B03D9">
            <w:pPr>
              <w:pStyle w:val="27"/>
            </w:pPr>
            <w:r>
              <w:rPr>
                <w:rFonts w:hint="eastAsia"/>
              </w:rPr>
              <w:t>是否需要手机登录（0，不需要，1需要）</w:t>
            </w:r>
          </w:p>
        </w:tc>
      </w:tr>
      <w:tr w14:paraId="6C524BAF">
        <w:tblPrEx>
          <w:tblCellMar>
            <w:top w:w="0" w:type="dxa"/>
            <w:left w:w="108" w:type="dxa"/>
            <w:bottom w:w="0" w:type="dxa"/>
            <w:right w:w="108" w:type="dxa"/>
          </w:tblCellMar>
        </w:tblPrEx>
        <w:tc>
          <w:p w14:paraId="3387DCFA">
            <w:pPr>
              <w:pStyle w:val="27"/>
            </w:pPr>
            <w:r>
              <w:t>is_support_wechat</w:t>
            </w:r>
            <w:r>
              <w:rPr>
                <w:rFonts w:hint="eastAsia"/>
              </w:rPr>
              <w:t>是否支持通过小程序访问</w:t>
            </w:r>
          </w:p>
        </w:tc>
        <w:tc>
          <w:p w14:paraId="64004B97">
            <w:pPr>
              <w:pStyle w:val="27"/>
            </w:pPr>
            <w:r>
              <w:rPr>
                <w:rFonts w:hint="eastAsia"/>
              </w:rPr>
              <w:t>1(默认)</w:t>
            </w:r>
          </w:p>
        </w:tc>
        <w:tc>
          <w:p w14:paraId="751B715B">
            <w:pPr>
              <w:pStyle w:val="27"/>
            </w:pPr>
            <w:r>
              <w:rPr>
                <w:rFonts w:hint="eastAsia"/>
              </w:rPr>
              <w:t>（1：支持；0：不支持）</w:t>
            </w:r>
          </w:p>
        </w:tc>
      </w:tr>
      <w:tr w14:paraId="01EAD2B7">
        <w:tblPrEx>
          <w:tblCellMar>
            <w:top w:w="0" w:type="dxa"/>
            <w:left w:w="108" w:type="dxa"/>
            <w:bottom w:w="0" w:type="dxa"/>
            <w:right w:w="108" w:type="dxa"/>
          </w:tblCellMar>
        </w:tblPrEx>
        <w:tc>
          <w:p w14:paraId="6330AFC3">
            <w:pPr>
              <w:pStyle w:val="27"/>
            </w:pPr>
            <w:r>
              <w:t>login_to_page</w:t>
            </w:r>
            <w:r>
              <w:rPr>
                <w:rFonts w:hint="eastAsia"/>
              </w:rPr>
              <w:t>默认登录页面</w:t>
            </w:r>
          </w:p>
        </w:tc>
        <w:tc>
          <w:p w14:paraId="521109FB">
            <w:pPr>
              <w:pStyle w:val="27"/>
            </w:pPr>
            <w:r>
              <w:rPr>
                <w:rFonts w:hint="eastAsia"/>
              </w:rPr>
              <w:t>/pages/customer/customer（客户页）</w:t>
            </w:r>
          </w:p>
        </w:tc>
        <w:tc>
          <w:p w14:paraId="73C3962A">
            <w:pPr>
              <w:pStyle w:val="27"/>
            </w:pPr>
            <w:r>
              <w:rPr>
                <w:rFonts w:hint="eastAsia"/>
              </w:rPr>
              <w:t>登录跳转的目录地址(token失效情况除外，此时登录后跳转回原来的地址)</w:t>
            </w:r>
          </w:p>
        </w:tc>
      </w:tr>
      <w:tr w14:paraId="084B7589">
        <w:tblPrEx>
          <w:tblCellMar>
            <w:top w:w="0" w:type="dxa"/>
            <w:left w:w="108" w:type="dxa"/>
            <w:bottom w:w="0" w:type="dxa"/>
            <w:right w:w="108" w:type="dxa"/>
          </w:tblCellMar>
        </w:tblPrEx>
        <w:tc>
          <w:p w14:paraId="3AD9C5A8">
            <w:pPr>
              <w:pStyle w:val="27"/>
            </w:pPr>
            <w:r>
              <w:t>module_consult_enable</w:t>
            </w:r>
            <w:r>
              <w:rPr>
                <w:rFonts w:hint="eastAsia"/>
              </w:rPr>
              <w:t>是否开启投资咨询系统的对接</w:t>
            </w:r>
          </w:p>
        </w:tc>
        <w:tc>
          <w:p w14:paraId="59978526">
            <w:pPr>
              <w:pStyle w:val="27"/>
            </w:pPr>
            <w:r>
              <w:rPr>
                <w:rFonts w:hint="eastAsia"/>
              </w:rPr>
              <w:t>0(默认)</w:t>
            </w:r>
          </w:p>
        </w:tc>
        <w:tc>
          <w:p w14:paraId="6535DAAF">
            <w:pPr>
              <w:pStyle w:val="27"/>
            </w:pPr>
            <w:r>
              <w:rPr>
                <w:rFonts w:hint="eastAsia"/>
              </w:rPr>
              <w:t>需要部署了投资咨询系统。1是，0否</w:t>
            </w:r>
          </w:p>
        </w:tc>
      </w:tr>
      <w:tr w14:paraId="11495FB7">
        <w:tblPrEx>
          <w:tblCellMar>
            <w:top w:w="0" w:type="dxa"/>
            <w:left w:w="108" w:type="dxa"/>
            <w:bottom w:w="0" w:type="dxa"/>
            <w:right w:w="108" w:type="dxa"/>
          </w:tblCellMar>
        </w:tblPrEx>
        <w:tc>
          <w:p w14:paraId="756DB83A">
            <w:pPr>
              <w:pStyle w:val="27"/>
            </w:pPr>
            <w:r>
              <w:t>msg_dtl</w:t>
            </w:r>
          </w:p>
        </w:tc>
        <w:tc>
          <w:p w14:paraId="3BEE711B">
            <w:pPr>
              <w:pStyle w:val="27"/>
            </w:pPr>
            <w:r>
              <w:t>msg_dtl_cust,msg_dtl_call</w:t>
            </w:r>
          </w:p>
        </w:tc>
        <w:tc>
          <w:p w14:paraId="78340E0B">
            <w:pPr>
              <w:pStyle w:val="27"/>
            </w:pPr>
          </w:p>
        </w:tc>
      </w:tr>
      <w:tr w14:paraId="5FCD2C59">
        <w:tblPrEx>
          <w:tblCellMar>
            <w:top w:w="0" w:type="dxa"/>
            <w:left w:w="108" w:type="dxa"/>
            <w:bottom w:w="0" w:type="dxa"/>
            <w:right w:w="108" w:type="dxa"/>
          </w:tblCellMar>
        </w:tblPrEx>
        <w:tc>
          <w:p w14:paraId="34304CE6">
            <w:pPr>
              <w:pStyle w:val="27"/>
            </w:pPr>
            <w:r>
              <w:t>msg_wx_textcard_url</w:t>
            </w:r>
            <w:r>
              <w:rPr>
                <w:rFonts w:hint="eastAsia"/>
              </w:rPr>
              <w:t>发送企业微信通知url</w:t>
            </w:r>
          </w:p>
        </w:tc>
        <w:tc>
          <w:p w14:paraId="7915140A">
            <w:pPr>
              <w:pStyle w:val="27"/>
            </w:pPr>
            <w:r>
              <w:rPr>
                <w:rFonts w:hint="eastAsia"/>
              </w:rPr>
              <w:t>由开发人员配置</w:t>
            </w:r>
          </w:p>
        </w:tc>
        <w:tc>
          <w:p w14:paraId="16D942A6">
            <w:pPr>
              <w:pStyle w:val="27"/>
            </w:pPr>
            <w:r>
              <w:rPr>
                <w:rFonts w:hint="eastAsia"/>
              </w:rPr>
              <w:t>调用企微消息推送的地址</w:t>
            </w:r>
          </w:p>
        </w:tc>
      </w:tr>
      <w:tr w14:paraId="58D3ABC9">
        <w:tblPrEx>
          <w:tblCellMar>
            <w:top w:w="0" w:type="dxa"/>
            <w:left w:w="108" w:type="dxa"/>
            <w:bottom w:w="0" w:type="dxa"/>
            <w:right w:w="108" w:type="dxa"/>
          </w:tblCellMar>
        </w:tblPrEx>
        <w:tc>
          <w:p w14:paraId="56591C48">
            <w:pPr>
              <w:pStyle w:val="27"/>
            </w:pPr>
            <w:r>
              <w:t>my_status_valid</w:t>
            </w:r>
            <w:r>
              <w:rPr>
                <w:rFonts w:hint="eastAsia"/>
              </w:rPr>
              <w:t>通讯录默认显示状态</w:t>
            </w:r>
          </w:p>
        </w:tc>
        <w:tc>
          <w:p w14:paraId="65786871">
            <w:pPr>
              <w:pStyle w:val="27"/>
            </w:pPr>
            <w:r>
              <w:rPr>
                <w:rFonts w:hint="eastAsia"/>
              </w:rPr>
              <w:t>1(默认)</w:t>
            </w:r>
          </w:p>
        </w:tc>
        <w:tc>
          <w:p w14:paraId="47D1AD34">
            <w:pPr>
              <w:pStyle w:val="27"/>
            </w:pPr>
            <w:r>
              <w:rPr>
                <w:rFonts w:hint="eastAsia"/>
              </w:rPr>
              <w:t>我的-客户，客户经理，居间人</w:t>
            </w:r>
            <w:r>
              <w:t xml:space="preserve"> </w:t>
            </w:r>
            <w:r>
              <w:rPr>
                <w:rFonts w:hint="eastAsia"/>
              </w:rPr>
              <w:t>默认显示有效状态的数据。1：默认显示有效状态</w:t>
            </w:r>
            <w:r>
              <w:t xml:space="preserve"> </w:t>
            </w:r>
            <w:r>
              <w:rPr>
                <w:rFonts w:hint="eastAsia"/>
              </w:rPr>
              <w:t>0：默认显示全量数据</w:t>
            </w:r>
          </w:p>
        </w:tc>
      </w:tr>
      <w:tr w14:paraId="75A087C7">
        <w:tblPrEx>
          <w:tblCellMar>
            <w:top w:w="0" w:type="dxa"/>
            <w:left w:w="108" w:type="dxa"/>
            <w:bottom w:w="0" w:type="dxa"/>
            <w:right w:w="108" w:type="dxa"/>
          </w:tblCellMar>
        </w:tblPrEx>
        <w:tc>
          <w:p w14:paraId="10C6F40E">
            <w:pPr>
              <w:pStyle w:val="27"/>
            </w:pPr>
            <w:r>
              <w:t>pk</w:t>
            </w:r>
            <w:r>
              <w:rPr>
                <w:rFonts w:hint="eastAsia"/>
              </w:rPr>
              <w:t>RSA公钥</w:t>
            </w:r>
          </w:p>
        </w:tc>
        <w:tc>
          <w:p w14:paraId="468ED959">
            <w:pPr>
              <w:pStyle w:val="27"/>
            </w:pPr>
            <w:r>
              <w:rPr>
                <w:rFonts w:hint="eastAsia"/>
              </w:rPr>
              <w:t>由开发配置</w:t>
            </w:r>
          </w:p>
        </w:tc>
        <w:tc>
          <w:p w14:paraId="3851460E">
            <w:pPr>
              <w:pStyle w:val="27"/>
            </w:pPr>
            <w:r>
              <w:rPr>
                <w:rFonts w:hint="eastAsia"/>
              </w:rPr>
              <w:t>RSA公钥</w:t>
            </w:r>
          </w:p>
        </w:tc>
      </w:tr>
      <w:tr w14:paraId="088FC185">
        <w:tblPrEx>
          <w:tblCellMar>
            <w:top w:w="0" w:type="dxa"/>
            <w:left w:w="108" w:type="dxa"/>
            <w:bottom w:w="0" w:type="dxa"/>
            <w:right w:w="108" w:type="dxa"/>
          </w:tblCellMar>
        </w:tblPrEx>
        <w:tc>
          <w:p w14:paraId="170AAE20">
            <w:pPr>
              <w:pStyle w:val="27"/>
            </w:pPr>
            <w:r>
              <w:t>pwdEffectiveTime</w:t>
            </w:r>
            <w:r>
              <w:rPr>
                <w:rFonts w:hint="eastAsia"/>
              </w:rPr>
              <w:t>设置免密登录的有效期</w:t>
            </w:r>
          </w:p>
        </w:tc>
        <w:tc>
          <w:p w14:paraId="02FAD9B8">
            <w:pPr>
              <w:pStyle w:val="27"/>
            </w:pPr>
            <w:r>
              <w:t>0.5H</w:t>
            </w:r>
          </w:p>
        </w:tc>
        <w:tc>
          <w:p w14:paraId="50C06F7B">
            <w:pPr>
              <w:pStyle w:val="27"/>
            </w:pPr>
            <w:r>
              <w:rPr>
                <w:rFonts w:hint="eastAsia"/>
              </w:rPr>
              <w:t>设置免密登录的有效期，当且仅当参数“pwdFreeLoginSwitch”设置为1时生效。</w:t>
            </w:r>
            <w:r>
              <w:t xml:space="preserve"> </w:t>
            </w:r>
            <w:r>
              <w:rPr>
                <w:rFonts w:hint="eastAsia"/>
              </w:rPr>
              <w:t>用户登录系统后，在此时间段内保持免密登录状态。超过此时长后，登录状态将失效，用户需要重新输入账号密码或验证码进行登录。</w:t>
            </w:r>
            <w:r>
              <w:t xml:space="preserve"> </w:t>
            </w:r>
            <w:r>
              <w:rPr>
                <w:rFonts w:hint="eastAsia"/>
              </w:rPr>
              <w:t>格式（举例）：0.5H（半小时）、12H（12小时）、7D（7天）。若设置为“0”则表示每次均需要手动登录。</w:t>
            </w:r>
          </w:p>
        </w:tc>
      </w:tr>
      <w:tr w14:paraId="5F23B291">
        <w:tblPrEx>
          <w:tblCellMar>
            <w:top w:w="0" w:type="dxa"/>
            <w:left w:w="108" w:type="dxa"/>
            <w:bottom w:w="0" w:type="dxa"/>
            <w:right w:w="108" w:type="dxa"/>
          </w:tblCellMar>
        </w:tblPrEx>
        <w:tc>
          <w:p w14:paraId="734FEC95">
            <w:pPr>
              <w:pStyle w:val="27"/>
            </w:pPr>
            <w:r>
              <w:t>pwdFreeLoginSwitch</w:t>
            </w:r>
            <w:r>
              <w:rPr>
                <w:rFonts w:hint="eastAsia"/>
              </w:rPr>
              <w:t>免密登录有效期开关</w:t>
            </w:r>
          </w:p>
        </w:tc>
        <w:tc>
          <w:p w14:paraId="2B46250C">
            <w:pPr>
              <w:pStyle w:val="27"/>
            </w:pPr>
            <w:r>
              <w:t>1</w:t>
            </w:r>
          </w:p>
        </w:tc>
        <w:tc>
          <w:p w14:paraId="7B0E85CA">
            <w:pPr>
              <w:pStyle w:val="27"/>
            </w:pPr>
            <w:r>
              <w:rPr>
                <w:rFonts w:hint="eastAsia"/>
              </w:rPr>
              <w:t>1：开（配合免密有效时间使用）0：关</w:t>
            </w:r>
          </w:p>
        </w:tc>
      </w:tr>
      <w:tr w14:paraId="194B4B73">
        <w:tblPrEx>
          <w:tblCellMar>
            <w:top w:w="0" w:type="dxa"/>
            <w:left w:w="108" w:type="dxa"/>
            <w:bottom w:w="0" w:type="dxa"/>
            <w:right w:w="108" w:type="dxa"/>
          </w:tblCellMar>
        </w:tblPrEx>
        <w:tc>
          <w:p w14:paraId="5F27AE5E">
            <w:pPr>
              <w:pStyle w:val="27"/>
            </w:pPr>
            <w:r>
              <w:t>sync_wecom_userid_enable</w:t>
            </w:r>
            <w:r>
              <w:rPr>
                <w:rFonts w:hint="eastAsia"/>
              </w:rPr>
              <w:t>同步员工信息时是否获取企微用户id.</w:t>
            </w:r>
          </w:p>
        </w:tc>
        <w:tc>
          <w:p w14:paraId="15F2C576">
            <w:pPr>
              <w:pStyle w:val="27"/>
            </w:pPr>
            <w:r>
              <w:t>1</w:t>
            </w:r>
          </w:p>
        </w:tc>
        <w:tc>
          <w:p w14:paraId="4065A71D">
            <w:pPr>
              <w:pStyle w:val="27"/>
            </w:pPr>
            <w:r>
              <w:rPr>
                <w:rFonts w:hint="eastAsia"/>
              </w:rPr>
              <w:t>1：是</w:t>
            </w:r>
            <w:r>
              <w:t xml:space="preserve"> </w:t>
            </w:r>
            <w:r>
              <w:rPr>
                <w:rFonts w:hint="eastAsia"/>
              </w:rPr>
              <w:t>0：否</w:t>
            </w:r>
          </w:p>
        </w:tc>
      </w:tr>
      <w:tr w14:paraId="3BA7DD92">
        <w:tblPrEx>
          <w:tblCellMar>
            <w:top w:w="0" w:type="dxa"/>
            <w:left w:w="108" w:type="dxa"/>
            <w:bottom w:w="0" w:type="dxa"/>
            <w:right w:w="108" w:type="dxa"/>
          </w:tblCellMar>
        </w:tblPrEx>
        <w:tc>
          <w:p w14:paraId="65B78263">
            <w:pPr>
              <w:pStyle w:val="27"/>
            </w:pPr>
            <w:r>
              <w:t>to_page</w:t>
            </w:r>
            <w:r>
              <w:rPr>
                <w:rFonts w:hint="eastAsia"/>
              </w:rPr>
              <w:t>客户经理通讯录点击效果</w:t>
            </w:r>
          </w:p>
        </w:tc>
        <w:tc>
          <w:p w14:paraId="78513BA4">
            <w:pPr>
              <w:pStyle w:val="27"/>
            </w:pPr>
            <w:r>
              <w:t>1</w:t>
            </w:r>
          </w:p>
        </w:tc>
        <w:tc>
          <w:p w14:paraId="5BF18DA9">
            <w:pPr>
              <w:pStyle w:val="27"/>
            </w:pPr>
            <w:r>
              <w:rPr>
                <w:rFonts w:hint="eastAsia"/>
              </w:rPr>
              <w:t>0不下转，1跳转到客户经理简报</w:t>
            </w:r>
          </w:p>
        </w:tc>
      </w:tr>
      <w:tr w14:paraId="7EAEA38A">
        <w:tblPrEx>
          <w:tblCellMar>
            <w:top w:w="0" w:type="dxa"/>
            <w:left w:w="108" w:type="dxa"/>
            <w:bottom w:w="0" w:type="dxa"/>
            <w:right w:w="108" w:type="dxa"/>
          </w:tblCellMar>
        </w:tblPrEx>
        <w:tc>
          <w:p w14:paraId="06C57791">
            <w:pPr>
              <w:pStyle w:val="27"/>
            </w:pPr>
            <w:r>
              <w:t>water_set</w:t>
            </w:r>
            <w:r>
              <w:rPr>
                <w:rFonts w:hint="eastAsia"/>
              </w:rPr>
              <w:t>水印内容</w:t>
            </w:r>
          </w:p>
        </w:tc>
        <w:tc>
          <w:p w14:paraId="48DC35A5">
            <w:pPr>
              <w:pStyle w:val="27"/>
            </w:pPr>
            <w:r>
              <w:t>staffName,mobile</w:t>
            </w:r>
          </w:p>
        </w:tc>
        <w:tc>
          <w:p w14:paraId="7F08EDEA">
            <w:pPr>
              <w:pStyle w:val="27"/>
            </w:pPr>
            <w:r>
              <w:rPr>
                <w:rFonts w:hint="eastAsia"/>
              </w:rPr>
              <w:t>需要显示设置项的id，以逗号(英文)区分，且只能填2项。staffName:员工号；</w:t>
            </w:r>
            <w:r>
              <w:t xml:space="preserve"> </w:t>
            </w:r>
            <w:r>
              <w:rPr>
                <w:rFonts w:hint="eastAsia"/>
              </w:rPr>
              <w:t>mobile:手机号；deptCode:部门号；staffId:工号</w:t>
            </w:r>
          </w:p>
        </w:tc>
      </w:tr>
    </w:tbl>
    <w:p w14:paraId="5C94E9E6">
      <w:pPr>
        <w:pStyle w:val="5"/>
      </w:pPr>
      <w:bookmarkStart w:id="40" w:name="_Toc28411"/>
      <w:bookmarkStart w:id="41" w:name="配置项分类详细说明"/>
      <w:r>
        <w:rPr>
          <w:rFonts w:hint="eastAsia"/>
        </w:rPr>
        <w:t>配置项分类详细说明</w:t>
      </w:r>
      <w:bookmarkEnd w:id="40"/>
    </w:p>
    <w:p w14:paraId="01013206">
      <w:pPr>
        <w:pStyle w:val="6"/>
      </w:pPr>
      <w:bookmarkStart w:id="42" w:name="登录相关参数"/>
      <w:r>
        <w:t xml:space="preserve">1. </w:t>
      </w:r>
      <w:r>
        <w:rPr>
          <w:rFonts w:hint="eastAsia"/>
        </w:rPr>
        <w:t>登录相关参数</w:t>
      </w: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6DB48058">
        <w:tblPrEx>
          <w:tblCellMar>
            <w:top w:w="0" w:type="dxa"/>
            <w:left w:w="108" w:type="dxa"/>
            <w:bottom w:w="0" w:type="dxa"/>
            <w:right w:w="108" w:type="dxa"/>
          </w:tblCellMar>
        </w:tblPrEx>
        <w:trPr>
          <w:tblHeader/>
        </w:trPr>
        <w:tc>
          <w:p w14:paraId="0F6628D9">
            <w:pPr>
              <w:pStyle w:val="27"/>
            </w:pPr>
            <w:r>
              <w:rPr>
                <w:rFonts w:hint="eastAsia"/>
              </w:rPr>
              <w:t>配置项及含义</w:t>
            </w:r>
          </w:p>
        </w:tc>
        <w:tc>
          <w:p w14:paraId="27F1478E">
            <w:pPr>
              <w:pStyle w:val="27"/>
            </w:pPr>
            <w:r>
              <w:rPr>
                <w:rFonts w:hint="eastAsia"/>
              </w:rPr>
              <w:t>配置项值</w:t>
            </w:r>
          </w:p>
        </w:tc>
        <w:tc>
          <w:p w14:paraId="7E3F91D7">
            <w:pPr>
              <w:pStyle w:val="27"/>
            </w:pPr>
            <w:r>
              <w:rPr>
                <w:rFonts w:hint="eastAsia"/>
              </w:rPr>
              <w:t>配置项描述及影响范围</w:t>
            </w:r>
          </w:p>
        </w:tc>
      </w:tr>
      <w:tr w14:paraId="10CE63EB">
        <w:tblPrEx>
          <w:tblCellMar>
            <w:top w:w="0" w:type="dxa"/>
            <w:left w:w="108" w:type="dxa"/>
            <w:bottom w:w="0" w:type="dxa"/>
            <w:right w:w="108" w:type="dxa"/>
          </w:tblCellMar>
        </w:tblPrEx>
        <w:tc>
          <w:p w14:paraId="5D3B9A0C">
            <w:pPr>
              <w:pStyle w:val="27"/>
            </w:pPr>
            <w:r>
              <w:t>default_login_type</w:t>
            </w:r>
            <w:r>
              <w:rPr>
                <w:rFonts w:hint="eastAsia"/>
              </w:rPr>
              <w:t>默认登录方式</w:t>
            </w:r>
          </w:p>
        </w:tc>
        <w:tc>
          <w:p w14:paraId="1DD1CA8D">
            <w:pPr>
              <w:pStyle w:val="27"/>
            </w:pPr>
            <w:r>
              <w:rPr>
                <w:rFonts w:hint="eastAsia"/>
              </w:rPr>
              <w:t>0（默认）</w:t>
            </w:r>
          </w:p>
        </w:tc>
        <w:tc>
          <w:p w14:paraId="0FDE4A7C">
            <w:pPr>
              <w:pStyle w:val="27"/>
            </w:pPr>
            <w:r>
              <w:rPr>
                <w:rFonts w:hint="eastAsia"/>
              </w:rPr>
              <w:t>账号密码登录</w:t>
            </w:r>
          </w:p>
        </w:tc>
      </w:tr>
      <w:tr w14:paraId="065A3B18">
        <w:tblPrEx>
          <w:tblCellMar>
            <w:top w:w="0" w:type="dxa"/>
            <w:left w:w="108" w:type="dxa"/>
            <w:bottom w:w="0" w:type="dxa"/>
            <w:right w:w="108" w:type="dxa"/>
          </w:tblCellMar>
        </w:tblPrEx>
        <w:tc>
          <w:p w14:paraId="26E8F2B4">
            <w:pPr>
              <w:pStyle w:val="27"/>
            </w:pPr>
          </w:p>
        </w:tc>
        <w:tc>
          <w:p w14:paraId="5D75AB0B">
            <w:pPr>
              <w:pStyle w:val="27"/>
            </w:pPr>
            <w:r>
              <w:t>1</w:t>
            </w:r>
          </w:p>
        </w:tc>
        <w:tc>
          <w:p w14:paraId="02BAE356">
            <w:pPr>
              <w:pStyle w:val="27"/>
            </w:pPr>
            <w:r>
              <w:rPr>
                <w:rFonts w:hint="eastAsia"/>
              </w:rPr>
              <w:t>手机号登录，但依赖于另一个配置项</w:t>
            </w:r>
            <w:r>
              <w:t xml:space="preserve"> is_phone_login=1 </w:t>
            </w:r>
            <w:r>
              <w:rPr>
                <w:rFonts w:hint="eastAsia"/>
              </w:rPr>
              <w:t>才生效</w:t>
            </w:r>
          </w:p>
        </w:tc>
      </w:tr>
      <w:tr w14:paraId="15E1A64B">
        <w:tblPrEx>
          <w:tblCellMar>
            <w:top w:w="0" w:type="dxa"/>
            <w:left w:w="108" w:type="dxa"/>
            <w:bottom w:w="0" w:type="dxa"/>
            <w:right w:w="108" w:type="dxa"/>
          </w:tblCellMar>
        </w:tblPrEx>
        <w:tc>
          <w:p w14:paraId="1EB695C0">
            <w:pPr>
              <w:pStyle w:val="27"/>
            </w:pPr>
            <w:r>
              <w:t>is_phone_login</w:t>
            </w:r>
            <w:r>
              <w:rPr>
                <w:rFonts w:hint="eastAsia"/>
              </w:rPr>
              <w:t>是否开启手机号+验证码登录</w:t>
            </w:r>
          </w:p>
        </w:tc>
        <w:tc>
          <w:p w14:paraId="5D6F9C0A">
            <w:pPr>
              <w:pStyle w:val="27"/>
            </w:pPr>
            <w:r>
              <w:rPr>
                <w:rFonts w:hint="eastAsia"/>
              </w:rPr>
              <w:t>1（默认）</w:t>
            </w:r>
          </w:p>
        </w:tc>
        <w:tc>
          <w:p w14:paraId="11A6141E">
            <w:pPr>
              <w:pStyle w:val="27"/>
            </w:pPr>
            <w:r>
              <w:rPr>
                <w:rFonts w:hint="eastAsia"/>
              </w:rPr>
              <w:t>开启。账号密码登录页面展示”手机号登录”选项。</w:t>
            </w:r>
          </w:p>
        </w:tc>
      </w:tr>
      <w:tr w14:paraId="067E2A6C">
        <w:tblPrEx>
          <w:tblCellMar>
            <w:top w:w="0" w:type="dxa"/>
            <w:left w:w="108" w:type="dxa"/>
            <w:bottom w:w="0" w:type="dxa"/>
            <w:right w:w="108" w:type="dxa"/>
          </w:tblCellMar>
        </w:tblPrEx>
        <w:tc>
          <w:p w14:paraId="2EE4197B">
            <w:pPr>
              <w:pStyle w:val="27"/>
            </w:pPr>
          </w:p>
        </w:tc>
        <w:tc>
          <w:p w14:paraId="3E7F0824">
            <w:pPr>
              <w:pStyle w:val="27"/>
            </w:pPr>
            <w:r>
              <w:t>0</w:t>
            </w:r>
          </w:p>
        </w:tc>
        <w:tc>
          <w:p w14:paraId="05481E68">
            <w:pPr>
              <w:pStyle w:val="27"/>
            </w:pPr>
            <w:r>
              <w:rPr>
                <w:rFonts w:hint="eastAsia"/>
              </w:rPr>
              <w:t>不开启。账号密码登录页面不展示”手机号登录”选项。</w:t>
            </w:r>
          </w:p>
        </w:tc>
      </w:tr>
    </w:tbl>
    <w:p w14:paraId="38492EA2">
      <w:pPr>
        <w:pStyle w:val="3"/>
      </w:pPr>
      <w:r>
        <w:t xml:space="preserve">is_phone_login </w:t>
      </w:r>
      <w:r>
        <w:rPr>
          <w:rFonts w:hint="eastAsia"/>
        </w:rPr>
        <w:t>开启效果：</w:t>
      </w:r>
    </w:p>
    <w:p w14:paraId="299150C6">
      <w:pPr>
        <w:pStyle w:val="3"/>
      </w:pPr>
    </w:p>
    <w:p w14:paraId="23481C68">
      <w:pPr>
        <w:pStyle w:val="3"/>
      </w:pPr>
      <w:r>
        <w:t xml:space="preserve">is_phone_login </w:t>
      </w:r>
      <w:r>
        <w:rPr>
          <w:rFonts w:hint="eastAsia"/>
        </w:rPr>
        <w:t>关闭效果：</w:t>
      </w:r>
    </w:p>
    <w:p w14:paraId="59B033E4">
      <w:pPr>
        <w:pStyle w:val="3"/>
      </w:pP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236E3E49">
        <w:tblPrEx>
          <w:tblCellMar>
            <w:top w:w="0" w:type="dxa"/>
            <w:left w:w="108" w:type="dxa"/>
            <w:bottom w:w="0" w:type="dxa"/>
            <w:right w:w="108" w:type="dxa"/>
          </w:tblCellMar>
        </w:tblPrEx>
        <w:trPr>
          <w:tblHeader/>
        </w:trPr>
        <w:tc>
          <w:p w14:paraId="2F302A84">
            <w:pPr>
              <w:pStyle w:val="27"/>
            </w:pPr>
            <w:r>
              <w:rPr>
                <w:rFonts w:hint="eastAsia"/>
              </w:rPr>
              <w:t>配置项及含义</w:t>
            </w:r>
          </w:p>
        </w:tc>
        <w:tc>
          <w:p w14:paraId="586B04E9">
            <w:pPr>
              <w:pStyle w:val="27"/>
            </w:pPr>
            <w:r>
              <w:rPr>
                <w:rFonts w:hint="eastAsia"/>
              </w:rPr>
              <w:t>配置项值</w:t>
            </w:r>
          </w:p>
        </w:tc>
        <w:tc>
          <w:p w14:paraId="18910D05">
            <w:pPr>
              <w:pStyle w:val="27"/>
            </w:pPr>
            <w:r>
              <w:rPr>
                <w:rFonts w:hint="eastAsia"/>
              </w:rPr>
              <w:t>配置项描述及影响范围</w:t>
            </w:r>
          </w:p>
        </w:tc>
      </w:tr>
      <w:tr w14:paraId="042E98D3">
        <w:tblPrEx>
          <w:tblCellMar>
            <w:top w:w="0" w:type="dxa"/>
            <w:left w:w="108" w:type="dxa"/>
            <w:bottom w:w="0" w:type="dxa"/>
            <w:right w:w="108" w:type="dxa"/>
          </w:tblCellMar>
        </w:tblPrEx>
        <w:tc>
          <w:p w14:paraId="57D1F9C5">
            <w:pPr>
              <w:pStyle w:val="27"/>
            </w:pPr>
            <w:r>
              <w:t>bind_wx</w:t>
            </w:r>
            <w:r>
              <w:rPr>
                <w:rFonts w:hint="eastAsia"/>
              </w:rPr>
              <w:t>是否启用绑定微信</w:t>
            </w:r>
          </w:p>
        </w:tc>
        <w:tc>
          <w:p w14:paraId="01EA8C75">
            <w:pPr>
              <w:pStyle w:val="27"/>
            </w:pPr>
            <w:r>
              <w:rPr>
                <w:rFonts w:hint="eastAsia"/>
              </w:rPr>
              <w:t>1（默认）</w:t>
            </w:r>
          </w:p>
        </w:tc>
        <w:tc>
          <w:p w14:paraId="6E51FD00">
            <w:pPr>
              <w:pStyle w:val="27"/>
            </w:pPr>
            <w:r>
              <w:rPr>
                <w:rFonts w:hint="eastAsia"/>
              </w:rPr>
              <w:t>启用。知客小程序登录页面展示”绑定微信号”的选项。</w:t>
            </w:r>
          </w:p>
        </w:tc>
      </w:tr>
      <w:tr w14:paraId="22C55B55">
        <w:tblPrEx>
          <w:tblCellMar>
            <w:top w:w="0" w:type="dxa"/>
            <w:left w:w="108" w:type="dxa"/>
            <w:bottom w:w="0" w:type="dxa"/>
            <w:right w:w="108" w:type="dxa"/>
          </w:tblCellMar>
        </w:tblPrEx>
        <w:tc>
          <w:p w14:paraId="6DB590FD">
            <w:pPr>
              <w:pStyle w:val="27"/>
            </w:pPr>
          </w:p>
        </w:tc>
        <w:tc>
          <w:p w14:paraId="3D96B823">
            <w:pPr>
              <w:pStyle w:val="27"/>
            </w:pPr>
            <w:r>
              <w:t>0</w:t>
            </w:r>
          </w:p>
        </w:tc>
        <w:tc>
          <w:p w14:paraId="1424C4FA">
            <w:pPr>
              <w:pStyle w:val="27"/>
            </w:pPr>
            <w:r>
              <w:rPr>
                <w:rFonts w:hint="eastAsia"/>
              </w:rPr>
              <w:t>不启用。知客小程序登录页面不展示”绑定微信号”的选项。</w:t>
            </w:r>
          </w:p>
        </w:tc>
      </w:tr>
    </w:tbl>
    <w:p w14:paraId="14AF5BAF">
      <w:pPr>
        <w:pStyle w:val="3"/>
      </w:pPr>
      <w:r>
        <w:t xml:space="preserve">bind_wx </w:t>
      </w:r>
      <w:r>
        <w:rPr>
          <w:rFonts w:hint="eastAsia"/>
        </w:rPr>
        <w:t>开启效果：</w:t>
      </w:r>
    </w:p>
    <w:p w14:paraId="067783CE">
      <w:pPr>
        <w:pStyle w:val="3"/>
      </w:pP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333615DC">
        <w:tblPrEx>
          <w:tblCellMar>
            <w:top w:w="0" w:type="dxa"/>
            <w:left w:w="108" w:type="dxa"/>
            <w:bottom w:w="0" w:type="dxa"/>
            <w:right w:w="108" w:type="dxa"/>
          </w:tblCellMar>
        </w:tblPrEx>
        <w:trPr>
          <w:tblHeader/>
        </w:trPr>
        <w:tc>
          <w:p w14:paraId="6D34ED04">
            <w:pPr>
              <w:pStyle w:val="27"/>
            </w:pPr>
            <w:r>
              <w:rPr>
                <w:rFonts w:hint="eastAsia"/>
              </w:rPr>
              <w:t>配置项及含义</w:t>
            </w:r>
          </w:p>
        </w:tc>
        <w:tc>
          <w:p w14:paraId="04EFD93C">
            <w:pPr>
              <w:pStyle w:val="27"/>
            </w:pPr>
            <w:r>
              <w:rPr>
                <w:rFonts w:hint="eastAsia"/>
              </w:rPr>
              <w:t>配置项值</w:t>
            </w:r>
          </w:p>
        </w:tc>
        <w:tc>
          <w:p w14:paraId="631C2DF6">
            <w:pPr>
              <w:pStyle w:val="27"/>
            </w:pPr>
            <w:r>
              <w:rPr>
                <w:rFonts w:hint="eastAsia"/>
              </w:rPr>
              <w:t>配置项描述及影响范围</w:t>
            </w:r>
          </w:p>
        </w:tc>
      </w:tr>
      <w:tr w14:paraId="4071353B">
        <w:tblPrEx>
          <w:tblCellMar>
            <w:top w:w="0" w:type="dxa"/>
            <w:left w:w="108" w:type="dxa"/>
            <w:bottom w:w="0" w:type="dxa"/>
            <w:right w:w="108" w:type="dxa"/>
          </w:tblCellMar>
        </w:tblPrEx>
        <w:tc>
          <w:p w14:paraId="22C9C605">
            <w:pPr>
              <w:pStyle w:val="27"/>
            </w:pPr>
            <w:r>
              <w:t>pwdFreeLoginSwitch</w:t>
            </w:r>
            <w:r>
              <w:rPr>
                <w:rFonts w:hint="eastAsia"/>
              </w:rPr>
              <w:t>免密登录有效期开关</w:t>
            </w:r>
          </w:p>
        </w:tc>
        <w:tc>
          <w:p w14:paraId="016629F8">
            <w:pPr>
              <w:pStyle w:val="27"/>
            </w:pPr>
            <w:r>
              <w:rPr>
                <w:rFonts w:hint="eastAsia"/>
              </w:rPr>
              <w:t>1（默认）</w:t>
            </w:r>
          </w:p>
        </w:tc>
        <w:tc>
          <w:p w14:paraId="3F4F2F45">
            <w:pPr>
              <w:pStyle w:val="27"/>
            </w:pPr>
            <w:r>
              <w:rPr>
                <w:rFonts w:hint="eastAsia"/>
              </w:rPr>
              <w:t>开启。与参数”pwdEffectiveTime”关联使用。</w:t>
            </w:r>
          </w:p>
        </w:tc>
      </w:tr>
      <w:tr w14:paraId="30255D44">
        <w:tblPrEx>
          <w:tblCellMar>
            <w:top w:w="0" w:type="dxa"/>
            <w:left w:w="108" w:type="dxa"/>
            <w:bottom w:w="0" w:type="dxa"/>
            <w:right w:w="108" w:type="dxa"/>
          </w:tblCellMar>
        </w:tblPrEx>
        <w:tc>
          <w:p w14:paraId="340E3B83">
            <w:pPr>
              <w:pStyle w:val="27"/>
            </w:pPr>
          </w:p>
        </w:tc>
        <w:tc>
          <w:p w14:paraId="13BCFE5F">
            <w:pPr>
              <w:pStyle w:val="27"/>
            </w:pPr>
            <w:r>
              <w:t>0</w:t>
            </w:r>
          </w:p>
        </w:tc>
        <w:tc>
          <w:p w14:paraId="1877A14C">
            <w:pPr>
              <w:pStyle w:val="27"/>
            </w:pPr>
            <w:r>
              <w:rPr>
                <w:rFonts w:hint="eastAsia"/>
              </w:rPr>
              <w:t>关闭</w:t>
            </w:r>
          </w:p>
        </w:tc>
      </w:tr>
      <w:tr w14:paraId="76619907">
        <w:tblPrEx>
          <w:tblCellMar>
            <w:top w:w="0" w:type="dxa"/>
            <w:left w:w="108" w:type="dxa"/>
            <w:bottom w:w="0" w:type="dxa"/>
            <w:right w:w="108" w:type="dxa"/>
          </w:tblCellMar>
        </w:tblPrEx>
        <w:tc>
          <w:p w14:paraId="72152C16">
            <w:pPr>
              <w:pStyle w:val="27"/>
            </w:pPr>
            <w:r>
              <w:t>pwdEffectiveTime</w:t>
            </w:r>
            <w:r>
              <w:rPr>
                <w:rFonts w:hint="eastAsia"/>
              </w:rPr>
              <w:t>免密登录有效期时间设置</w:t>
            </w:r>
          </w:p>
        </w:tc>
        <w:tc>
          <w:p w14:paraId="22BBA897">
            <w:pPr>
              <w:pStyle w:val="27"/>
            </w:pPr>
            <w:r>
              <w:rPr>
                <w:rFonts w:hint="eastAsia"/>
              </w:rPr>
              <w:t>格式举例：0.5H（半小时）、12H（12小时）、7D（7天）</w:t>
            </w:r>
          </w:p>
        </w:tc>
        <w:tc>
          <w:p w14:paraId="56DC50B1">
            <w:pPr>
              <w:pStyle w:val="27"/>
            </w:pPr>
            <w:r>
              <w:rPr>
                <w:rFonts w:hint="eastAsia"/>
              </w:rPr>
              <w:t>当且仅当参数”pwdFreeLoginSwitch”设置为1时生效。用户登录系统后，在此时间段内保持免密登录状态。超过此时长后，登录状态将失效，用户需要重新输入账号密码或验证码进行登录。若设置为”0”则表示每次均需要手动登录。</w:t>
            </w:r>
          </w:p>
        </w:tc>
      </w:tr>
      <w:bookmarkEnd w:id="42"/>
    </w:tbl>
    <w:p w14:paraId="33065504">
      <w:pPr>
        <w:pStyle w:val="6"/>
      </w:pPr>
      <w:bookmarkStart w:id="43" w:name="数据脱敏相关参数"/>
      <w:r>
        <w:t xml:space="preserve">2. </w:t>
      </w:r>
      <w:r>
        <w:rPr>
          <w:rFonts w:hint="eastAsia"/>
        </w:rPr>
        <w:t>数据脱敏相关参数</w:t>
      </w: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09A17A3F">
        <w:tblPrEx>
          <w:tblCellMar>
            <w:top w:w="0" w:type="dxa"/>
            <w:left w:w="108" w:type="dxa"/>
            <w:bottom w:w="0" w:type="dxa"/>
            <w:right w:w="108" w:type="dxa"/>
          </w:tblCellMar>
        </w:tblPrEx>
        <w:trPr>
          <w:tblHeader/>
        </w:trPr>
        <w:tc>
          <w:p w14:paraId="6B39A433">
            <w:pPr>
              <w:pStyle w:val="27"/>
            </w:pPr>
            <w:r>
              <w:rPr>
                <w:rFonts w:hint="eastAsia"/>
              </w:rPr>
              <w:t>配置项及含义</w:t>
            </w:r>
          </w:p>
        </w:tc>
        <w:tc>
          <w:p w14:paraId="3803EFF4">
            <w:pPr>
              <w:pStyle w:val="27"/>
            </w:pPr>
            <w:r>
              <w:rPr>
                <w:rFonts w:hint="eastAsia"/>
              </w:rPr>
              <w:t>配置项值</w:t>
            </w:r>
          </w:p>
        </w:tc>
        <w:tc>
          <w:p w14:paraId="17BCE60E">
            <w:pPr>
              <w:pStyle w:val="27"/>
            </w:pPr>
            <w:r>
              <w:rPr>
                <w:rFonts w:hint="eastAsia"/>
              </w:rPr>
              <w:t>配置项描述及影响范围</w:t>
            </w:r>
          </w:p>
        </w:tc>
      </w:tr>
      <w:tr w14:paraId="2D168064">
        <w:tblPrEx>
          <w:tblCellMar>
            <w:top w:w="0" w:type="dxa"/>
            <w:left w:w="108" w:type="dxa"/>
            <w:bottom w:w="0" w:type="dxa"/>
            <w:right w:w="108" w:type="dxa"/>
          </w:tblCellMar>
        </w:tblPrEx>
        <w:tc>
          <w:p w14:paraId="22E2D7C6">
            <w:pPr>
              <w:pStyle w:val="27"/>
            </w:pPr>
            <w:r>
              <w:t>desensitize.isDirectService</w:t>
            </w:r>
            <w:r>
              <w:rPr>
                <w:rFonts w:hint="eastAsia"/>
              </w:rPr>
              <w:t>直接开发客户信息脱敏</w:t>
            </w:r>
          </w:p>
        </w:tc>
        <w:tc>
          <w:p w14:paraId="5FF01BDC">
            <w:pPr>
              <w:pStyle w:val="27"/>
            </w:pPr>
            <w:r>
              <w:rPr>
                <w:rFonts w:hint="eastAsia"/>
              </w:rPr>
              <w:t>1（默认）</w:t>
            </w:r>
          </w:p>
        </w:tc>
        <w:tc>
          <w:p w14:paraId="70D66DE0">
            <w:pPr>
              <w:pStyle w:val="27"/>
            </w:pPr>
            <w:r>
              <w:rPr>
                <w:rFonts w:hint="eastAsia"/>
              </w:rPr>
              <w:t>脱敏。开启后，业务用户名下的直接开发客户的客户详情部分字段进行脱敏。</w:t>
            </w:r>
          </w:p>
        </w:tc>
      </w:tr>
      <w:tr w14:paraId="3FD78B12">
        <w:tblPrEx>
          <w:tblCellMar>
            <w:top w:w="0" w:type="dxa"/>
            <w:left w:w="108" w:type="dxa"/>
            <w:bottom w:w="0" w:type="dxa"/>
            <w:right w:w="108" w:type="dxa"/>
          </w:tblCellMar>
        </w:tblPrEx>
        <w:tc>
          <w:p w14:paraId="321CA94A">
            <w:pPr>
              <w:pStyle w:val="27"/>
            </w:pPr>
          </w:p>
        </w:tc>
        <w:tc>
          <w:p w14:paraId="4D990D67">
            <w:pPr>
              <w:pStyle w:val="27"/>
            </w:pPr>
            <w:r>
              <w:t>0</w:t>
            </w:r>
          </w:p>
        </w:tc>
        <w:tc>
          <w:p w14:paraId="4B17BE21">
            <w:pPr>
              <w:pStyle w:val="27"/>
            </w:pPr>
            <w:r>
              <w:rPr>
                <w:rFonts w:hint="eastAsia"/>
              </w:rPr>
              <w:t>不脱敏。</w:t>
            </w:r>
          </w:p>
        </w:tc>
      </w:tr>
      <w:tr w14:paraId="48701EA4">
        <w:tblPrEx>
          <w:tblCellMar>
            <w:top w:w="0" w:type="dxa"/>
            <w:left w:w="108" w:type="dxa"/>
            <w:bottom w:w="0" w:type="dxa"/>
            <w:right w:w="108" w:type="dxa"/>
          </w:tblCellMar>
        </w:tblPrEx>
        <w:tc>
          <w:p w14:paraId="77A3366D">
            <w:pPr>
              <w:pStyle w:val="27"/>
            </w:pPr>
            <w:r>
              <w:t>desensitize.isBrokerService</w:t>
            </w:r>
            <w:r>
              <w:rPr>
                <w:rFonts w:hint="eastAsia"/>
              </w:rPr>
              <w:t>居间开发客户信息脱敏</w:t>
            </w:r>
          </w:p>
        </w:tc>
        <w:tc>
          <w:p w14:paraId="1A282C66">
            <w:pPr>
              <w:pStyle w:val="27"/>
            </w:pPr>
            <w:r>
              <w:rPr>
                <w:rFonts w:hint="eastAsia"/>
              </w:rPr>
              <w:t>1（默认）</w:t>
            </w:r>
          </w:p>
        </w:tc>
        <w:tc>
          <w:p w14:paraId="29EF68E2">
            <w:pPr>
              <w:pStyle w:val="27"/>
            </w:pPr>
            <w:r>
              <w:rPr>
                <w:rFonts w:hint="eastAsia"/>
              </w:rPr>
              <w:t>脱敏。开启后，业务用户名下的居间开发客户的客户详情部分字段进行脱敏。</w:t>
            </w:r>
          </w:p>
        </w:tc>
      </w:tr>
      <w:tr w14:paraId="42E931D3">
        <w:tblPrEx>
          <w:tblCellMar>
            <w:top w:w="0" w:type="dxa"/>
            <w:left w:w="108" w:type="dxa"/>
            <w:bottom w:w="0" w:type="dxa"/>
            <w:right w:w="108" w:type="dxa"/>
          </w:tblCellMar>
        </w:tblPrEx>
        <w:tc>
          <w:p w14:paraId="0A128863">
            <w:pPr>
              <w:pStyle w:val="27"/>
            </w:pPr>
          </w:p>
        </w:tc>
        <w:tc>
          <w:p w14:paraId="37B83CCF">
            <w:pPr>
              <w:pStyle w:val="27"/>
            </w:pPr>
            <w:r>
              <w:t>0</w:t>
            </w:r>
          </w:p>
        </w:tc>
        <w:tc>
          <w:p w14:paraId="3BBB65D6">
            <w:pPr>
              <w:pStyle w:val="27"/>
            </w:pPr>
            <w:r>
              <w:rPr>
                <w:rFonts w:hint="eastAsia"/>
              </w:rPr>
              <w:t>不脱敏。</w:t>
            </w:r>
          </w:p>
        </w:tc>
      </w:tr>
      <w:tr w14:paraId="0C482E92">
        <w:tblPrEx>
          <w:tblCellMar>
            <w:top w:w="0" w:type="dxa"/>
            <w:left w:w="108" w:type="dxa"/>
            <w:bottom w:w="0" w:type="dxa"/>
            <w:right w:w="108" w:type="dxa"/>
          </w:tblCellMar>
        </w:tblPrEx>
        <w:tc>
          <w:p w14:paraId="4F5E164A">
            <w:pPr>
              <w:pStyle w:val="27"/>
            </w:pPr>
            <w:r>
              <w:t>desensitize.isDeptService</w:t>
            </w:r>
            <w:r>
              <w:rPr>
                <w:rFonts w:hint="eastAsia"/>
              </w:rPr>
              <w:t>部门直接开发客户信息脱敏</w:t>
            </w:r>
          </w:p>
        </w:tc>
        <w:tc>
          <w:p w14:paraId="6E56B85B">
            <w:pPr>
              <w:pStyle w:val="27"/>
            </w:pPr>
            <w:r>
              <w:rPr>
                <w:rFonts w:hint="eastAsia"/>
              </w:rPr>
              <w:t>1（默认）</w:t>
            </w:r>
          </w:p>
        </w:tc>
        <w:tc>
          <w:p w14:paraId="5C25ED98">
            <w:pPr>
              <w:pStyle w:val="27"/>
            </w:pPr>
            <w:r>
              <w:rPr>
                <w:rFonts w:hint="eastAsia"/>
              </w:rPr>
              <w:t>脱敏。“部门直接开发客户”指客户属于当前部门的客户经理直接开发，对这类客户进行信息脱敏。</w:t>
            </w:r>
          </w:p>
        </w:tc>
      </w:tr>
      <w:tr w14:paraId="0200268A">
        <w:tblPrEx>
          <w:tblCellMar>
            <w:top w:w="0" w:type="dxa"/>
            <w:left w:w="108" w:type="dxa"/>
            <w:bottom w:w="0" w:type="dxa"/>
            <w:right w:w="108" w:type="dxa"/>
          </w:tblCellMar>
        </w:tblPrEx>
        <w:tc>
          <w:p w14:paraId="04BF4B77">
            <w:pPr>
              <w:pStyle w:val="27"/>
            </w:pPr>
          </w:p>
        </w:tc>
        <w:tc>
          <w:p w14:paraId="5FDCED0E">
            <w:pPr>
              <w:pStyle w:val="27"/>
            </w:pPr>
            <w:r>
              <w:t>0</w:t>
            </w:r>
          </w:p>
        </w:tc>
        <w:tc>
          <w:p w14:paraId="4991C33C">
            <w:pPr>
              <w:pStyle w:val="27"/>
            </w:pPr>
            <w:r>
              <w:rPr>
                <w:rFonts w:hint="eastAsia"/>
              </w:rPr>
              <w:t>不脱敏。</w:t>
            </w:r>
          </w:p>
        </w:tc>
      </w:tr>
      <w:tr w14:paraId="568CC007">
        <w:tblPrEx>
          <w:tblCellMar>
            <w:top w:w="0" w:type="dxa"/>
            <w:left w:w="108" w:type="dxa"/>
            <w:bottom w:w="0" w:type="dxa"/>
            <w:right w:w="108" w:type="dxa"/>
          </w:tblCellMar>
        </w:tblPrEx>
        <w:tc>
          <w:p w14:paraId="303E6DF6">
            <w:pPr>
              <w:pStyle w:val="27"/>
            </w:pPr>
            <w:r>
              <w:t>desensitize.isDeptbrokerService</w:t>
            </w:r>
            <w:r>
              <w:rPr>
                <w:rFonts w:hint="eastAsia"/>
              </w:rPr>
              <w:t>部门居间开发客户信息脱敏</w:t>
            </w:r>
          </w:p>
        </w:tc>
        <w:tc>
          <w:p w14:paraId="3DA27D42">
            <w:pPr>
              <w:pStyle w:val="27"/>
            </w:pPr>
            <w:r>
              <w:rPr>
                <w:rFonts w:hint="eastAsia"/>
              </w:rPr>
              <w:t>1（默认）</w:t>
            </w:r>
          </w:p>
        </w:tc>
        <w:tc>
          <w:p w14:paraId="2D19E0E1">
            <w:pPr>
              <w:pStyle w:val="27"/>
            </w:pPr>
            <w:r>
              <w:rPr>
                <w:rFonts w:hint="eastAsia"/>
              </w:rPr>
              <w:t>脱敏。“部门居间开发客户”指客户属于当前部门的客户经理居间开发，对这类客户进行信息脱敏。</w:t>
            </w:r>
          </w:p>
        </w:tc>
      </w:tr>
      <w:tr w14:paraId="22251596">
        <w:tblPrEx>
          <w:tblCellMar>
            <w:top w:w="0" w:type="dxa"/>
            <w:left w:w="108" w:type="dxa"/>
            <w:bottom w:w="0" w:type="dxa"/>
            <w:right w:w="108" w:type="dxa"/>
          </w:tblCellMar>
        </w:tblPrEx>
        <w:tc>
          <w:p w14:paraId="603B9010">
            <w:pPr>
              <w:pStyle w:val="27"/>
            </w:pPr>
          </w:p>
        </w:tc>
        <w:tc>
          <w:p w14:paraId="32063DBC">
            <w:pPr>
              <w:pStyle w:val="27"/>
            </w:pPr>
            <w:r>
              <w:t>0</w:t>
            </w:r>
          </w:p>
        </w:tc>
        <w:tc>
          <w:p w14:paraId="606F0810">
            <w:pPr>
              <w:pStyle w:val="27"/>
            </w:pPr>
            <w:r>
              <w:rPr>
                <w:rFonts w:hint="eastAsia"/>
              </w:rPr>
              <w:t>不脱敏。</w:t>
            </w:r>
          </w:p>
        </w:tc>
      </w:tr>
      <w:tr w14:paraId="46DEA64E">
        <w:tblPrEx>
          <w:tblCellMar>
            <w:top w:w="0" w:type="dxa"/>
            <w:left w:w="108" w:type="dxa"/>
            <w:bottom w:w="0" w:type="dxa"/>
            <w:right w:w="108" w:type="dxa"/>
          </w:tblCellMar>
        </w:tblPrEx>
        <w:tc>
          <w:p w14:paraId="336C21A5">
            <w:pPr>
              <w:pStyle w:val="27"/>
            </w:pPr>
            <w:r>
              <w:t>desensitize.isSalesmanService</w:t>
            </w:r>
            <w:r>
              <w:rPr>
                <w:rFonts w:hint="eastAsia"/>
              </w:rPr>
              <w:t>部门经理直接开发客户信息脱敏</w:t>
            </w:r>
          </w:p>
        </w:tc>
        <w:tc>
          <w:p w14:paraId="55F5BCD3">
            <w:pPr>
              <w:pStyle w:val="27"/>
            </w:pPr>
            <w:r>
              <w:rPr>
                <w:rFonts w:hint="eastAsia"/>
              </w:rPr>
              <w:t>1（默认）</w:t>
            </w:r>
          </w:p>
        </w:tc>
        <w:tc>
          <w:p w14:paraId="38F6E286">
            <w:pPr>
              <w:pStyle w:val="27"/>
            </w:pPr>
            <w:r>
              <w:rPr>
                <w:rFonts w:hint="eastAsia"/>
              </w:rPr>
              <w:t>脱敏。“部门经理直接开发客户”指客户属于当前部门的客户部门经理直接开发，对这类客户进行信息脱敏。</w:t>
            </w:r>
          </w:p>
        </w:tc>
      </w:tr>
      <w:tr w14:paraId="44AA3B33">
        <w:tblPrEx>
          <w:tblCellMar>
            <w:top w:w="0" w:type="dxa"/>
            <w:left w:w="108" w:type="dxa"/>
            <w:bottom w:w="0" w:type="dxa"/>
            <w:right w:w="108" w:type="dxa"/>
          </w:tblCellMar>
        </w:tblPrEx>
        <w:tc>
          <w:p w14:paraId="337A5F9D">
            <w:pPr>
              <w:pStyle w:val="27"/>
            </w:pPr>
          </w:p>
        </w:tc>
        <w:tc>
          <w:p w14:paraId="2B192FBB">
            <w:pPr>
              <w:pStyle w:val="27"/>
            </w:pPr>
            <w:r>
              <w:t>0</w:t>
            </w:r>
          </w:p>
        </w:tc>
        <w:tc>
          <w:p w14:paraId="6E776384">
            <w:pPr>
              <w:pStyle w:val="27"/>
            </w:pPr>
            <w:r>
              <w:rPr>
                <w:rFonts w:hint="eastAsia"/>
              </w:rPr>
              <w:t>不脱敏。</w:t>
            </w:r>
          </w:p>
        </w:tc>
      </w:tr>
      <w:bookmarkEnd w:id="43"/>
    </w:tbl>
    <w:p w14:paraId="769AC4C7">
      <w:pPr>
        <w:pStyle w:val="6"/>
      </w:pPr>
      <w:bookmarkStart w:id="44" w:name="功能页面相关参数"/>
      <w:r>
        <w:t xml:space="preserve">3. </w:t>
      </w:r>
      <w:r>
        <w:rPr>
          <w:rFonts w:hint="eastAsia"/>
        </w:rPr>
        <w:t>功能页面相关参数</w:t>
      </w:r>
    </w:p>
    <w:tbl>
      <w:tblPr>
        <w:tblStyle w:val="44"/>
        <w:tblW w:w="0" w:type="auto"/>
        <w:tblInd w:w="0" w:type="dxa"/>
        <w:tblLayout w:type="autofit"/>
        <w:tblCellMar>
          <w:top w:w="0" w:type="dxa"/>
          <w:left w:w="108" w:type="dxa"/>
          <w:bottom w:w="0" w:type="dxa"/>
          <w:right w:w="108" w:type="dxa"/>
        </w:tblCellMar>
      </w:tblPr>
      <w:tblGrid>
        <w:gridCol w:w="4770"/>
        <w:gridCol w:w="1306"/>
        <w:gridCol w:w="2616"/>
      </w:tblGrid>
      <w:tr w14:paraId="55C7B7E0">
        <w:tblPrEx>
          <w:tblCellMar>
            <w:top w:w="0" w:type="dxa"/>
            <w:left w:w="108" w:type="dxa"/>
            <w:bottom w:w="0" w:type="dxa"/>
            <w:right w:w="108" w:type="dxa"/>
          </w:tblCellMar>
        </w:tblPrEx>
        <w:trPr>
          <w:tblHeader/>
        </w:trPr>
        <w:tc>
          <w:p w14:paraId="3AF5934F">
            <w:pPr>
              <w:pStyle w:val="27"/>
            </w:pPr>
            <w:r>
              <w:rPr>
                <w:rFonts w:hint="eastAsia"/>
              </w:rPr>
              <w:t>配置项及含义</w:t>
            </w:r>
          </w:p>
        </w:tc>
        <w:tc>
          <w:p w14:paraId="7A48FED9">
            <w:pPr>
              <w:pStyle w:val="27"/>
            </w:pPr>
            <w:r>
              <w:rPr>
                <w:rFonts w:hint="eastAsia"/>
              </w:rPr>
              <w:t>配置项值</w:t>
            </w:r>
          </w:p>
        </w:tc>
        <w:tc>
          <w:p w14:paraId="7F5ED34A">
            <w:pPr>
              <w:pStyle w:val="27"/>
            </w:pPr>
            <w:r>
              <w:rPr>
                <w:rFonts w:hint="eastAsia"/>
              </w:rPr>
              <w:t>配置项描述及影响范围</w:t>
            </w:r>
          </w:p>
        </w:tc>
      </w:tr>
      <w:tr w14:paraId="26D56DDE">
        <w:tblPrEx>
          <w:tblCellMar>
            <w:top w:w="0" w:type="dxa"/>
            <w:left w:w="108" w:type="dxa"/>
            <w:bottom w:w="0" w:type="dxa"/>
            <w:right w:w="108" w:type="dxa"/>
          </w:tblCellMar>
        </w:tblPrEx>
        <w:tc>
          <w:p w14:paraId="2FB42D4A">
            <w:pPr>
              <w:pStyle w:val="27"/>
            </w:pPr>
            <w:r>
              <w:t>idx_audit</w:t>
            </w:r>
            <w:r>
              <w:rPr>
                <w:rFonts w:hint="eastAsia"/>
              </w:rPr>
              <w:t>知客首页是否展示”业务流程审批”</w:t>
            </w:r>
          </w:p>
        </w:tc>
        <w:tc>
          <w:p w14:paraId="29BFAB3C">
            <w:pPr>
              <w:pStyle w:val="27"/>
            </w:pPr>
            <w:r>
              <w:rPr>
                <w:rFonts w:hint="eastAsia"/>
              </w:rPr>
              <w:t>1（默认）</w:t>
            </w:r>
          </w:p>
        </w:tc>
        <w:tc>
          <w:p w14:paraId="2E68C093">
            <w:pPr>
              <w:pStyle w:val="27"/>
            </w:pPr>
            <w:r>
              <w:rPr>
                <w:rFonts w:hint="eastAsia"/>
              </w:rPr>
              <w:t>显示</w:t>
            </w:r>
          </w:p>
        </w:tc>
      </w:tr>
      <w:tr w14:paraId="62F9ADE6">
        <w:tblPrEx>
          <w:tblCellMar>
            <w:top w:w="0" w:type="dxa"/>
            <w:left w:w="108" w:type="dxa"/>
            <w:bottom w:w="0" w:type="dxa"/>
            <w:right w:w="108" w:type="dxa"/>
          </w:tblCellMar>
        </w:tblPrEx>
        <w:tc>
          <w:p w14:paraId="2791B9D1">
            <w:pPr>
              <w:pStyle w:val="27"/>
            </w:pPr>
          </w:p>
        </w:tc>
        <w:tc>
          <w:p w14:paraId="798E8D09">
            <w:pPr>
              <w:pStyle w:val="27"/>
            </w:pPr>
            <w:r>
              <w:t>0</w:t>
            </w:r>
          </w:p>
        </w:tc>
        <w:tc>
          <w:p w14:paraId="335D63C0">
            <w:pPr>
              <w:pStyle w:val="27"/>
            </w:pPr>
            <w:r>
              <w:rPr>
                <w:rFonts w:hint="eastAsia"/>
              </w:rPr>
              <w:t>不显示</w:t>
            </w:r>
          </w:p>
        </w:tc>
      </w:tr>
    </w:tbl>
    <w:p w14:paraId="3E43DAB0">
      <w:pPr>
        <w:pStyle w:val="3"/>
      </w:pPr>
      <w:r>
        <w:t xml:space="preserve">idx_audit </w:t>
      </w:r>
      <w:r>
        <w:rPr>
          <w:rFonts w:hint="eastAsia"/>
        </w:rPr>
        <w:t>开启效果：</w:t>
      </w:r>
    </w:p>
    <w:p w14:paraId="76853AF2">
      <w:pPr>
        <w:pStyle w:val="3"/>
      </w:pP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1F5F65CC">
        <w:tblPrEx>
          <w:tblCellMar>
            <w:top w:w="0" w:type="dxa"/>
            <w:left w:w="108" w:type="dxa"/>
            <w:bottom w:w="0" w:type="dxa"/>
            <w:right w:w="108" w:type="dxa"/>
          </w:tblCellMar>
        </w:tblPrEx>
        <w:trPr>
          <w:tblHeader/>
        </w:trPr>
        <w:tc>
          <w:p w14:paraId="3E28A775">
            <w:pPr>
              <w:pStyle w:val="27"/>
            </w:pPr>
            <w:r>
              <w:rPr>
                <w:rFonts w:hint="eastAsia"/>
              </w:rPr>
              <w:t>配置项及含义</w:t>
            </w:r>
          </w:p>
        </w:tc>
        <w:tc>
          <w:p w14:paraId="2552BBAF">
            <w:pPr>
              <w:pStyle w:val="27"/>
            </w:pPr>
            <w:r>
              <w:rPr>
                <w:rFonts w:hint="eastAsia"/>
              </w:rPr>
              <w:t>配置项值</w:t>
            </w:r>
          </w:p>
        </w:tc>
        <w:tc>
          <w:p w14:paraId="47C4E6D1">
            <w:pPr>
              <w:pStyle w:val="27"/>
            </w:pPr>
            <w:r>
              <w:rPr>
                <w:rFonts w:hint="eastAsia"/>
              </w:rPr>
              <w:t>配置项描述及影响范围</w:t>
            </w:r>
          </w:p>
        </w:tc>
      </w:tr>
      <w:tr w14:paraId="00343744">
        <w:tblPrEx>
          <w:tblCellMar>
            <w:top w:w="0" w:type="dxa"/>
            <w:left w:w="108" w:type="dxa"/>
            <w:bottom w:w="0" w:type="dxa"/>
            <w:right w:w="108" w:type="dxa"/>
          </w:tblCellMar>
        </w:tblPrEx>
        <w:tc>
          <w:p w14:paraId="4ECC02A5">
            <w:pPr>
              <w:pStyle w:val="27"/>
            </w:pPr>
            <w:r>
              <w:t>to_page</w:t>
            </w:r>
            <w:r>
              <w:rPr>
                <w:rFonts w:hint="eastAsia"/>
              </w:rPr>
              <w:t>【我的-&gt;客户经理】是否跳转到业绩简报</w:t>
            </w:r>
          </w:p>
        </w:tc>
        <w:tc>
          <w:p w14:paraId="70249CDB">
            <w:pPr>
              <w:pStyle w:val="27"/>
            </w:pPr>
            <w:r>
              <w:rPr>
                <w:rFonts w:hint="eastAsia"/>
              </w:rPr>
              <w:t>1（默认）</w:t>
            </w:r>
          </w:p>
        </w:tc>
        <w:tc>
          <w:p w14:paraId="360D4186">
            <w:pPr>
              <w:pStyle w:val="27"/>
            </w:pPr>
            <w:r>
              <w:rPr>
                <w:rFonts w:hint="eastAsia"/>
              </w:rPr>
              <w:t>跳转。部门经理、总经理在【我的-&gt;客户经理】列表中，点击客户经理名称，跳转到业绩简报。</w:t>
            </w:r>
          </w:p>
        </w:tc>
      </w:tr>
      <w:tr w14:paraId="454232FB">
        <w:tblPrEx>
          <w:tblCellMar>
            <w:top w:w="0" w:type="dxa"/>
            <w:left w:w="108" w:type="dxa"/>
            <w:bottom w:w="0" w:type="dxa"/>
            <w:right w:w="108" w:type="dxa"/>
          </w:tblCellMar>
        </w:tblPrEx>
        <w:tc>
          <w:p w14:paraId="611FAF4E">
            <w:pPr>
              <w:pStyle w:val="27"/>
            </w:pPr>
          </w:p>
        </w:tc>
        <w:tc>
          <w:p w14:paraId="354A94F0">
            <w:pPr>
              <w:pStyle w:val="27"/>
            </w:pPr>
            <w:r>
              <w:t>0</w:t>
            </w:r>
          </w:p>
        </w:tc>
        <w:tc>
          <w:p w14:paraId="2DDE2731">
            <w:pPr>
              <w:pStyle w:val="27"/>
            </w:pPr>
            <w:r>
              <w:rPr>
                <w:rFonts w:hint="eastAsia"/>
              </w:rPr>
              <w:t>不跳转。</w:t>
            </w:r>
          </w:p>
        </w:tc>
      </w:tr>
      <w:tr w14:paraId="0F23FCBD">
        <w:tblPrEx>
          <w:tblCellMar>
            <w:top w:w="0" w:type="dxa"/>
            <w:left w:w="108" w:type="dxa"/>
            <w:bottom w:w="0" w:type="dxa"/>
            <w:right w:w="108" w:type="dxa"/>
          </w:tblCellMar>
        </w:tblPrEx>
        <w:tc>
          <w:p w14:paraId="773FE558">
            <w:pPr>
              <w:pStyle w:val="27"/>
            </w:pPr>
            <w:r>
              <w:t>login_to_page</w:t>
            </w:r>
            <w:r>
              <w:rPr>
                <w:rFonts w:hint="eastAsia"/>
              </w:rPr>
              <w:t>默认登录页面</w:t>
            </w:r>
          </w:p>
        </w:tc>
        <w:tc>
          <w:p w14:paraId="571CAEE2">
            <w:pPr>
              <w:pStyle w:val="27"/>
            </w:pPr>
            <w:r>
              <w:t>/pages/customer/customer</w:t>
            </w:r>
          </w:p>
        </w:tc>
        <w:tc>
          <w:p w14:paraId="09EF9FF1">
            <w:pPr>
              <w:pStyle w:val="27"/>
            </w:pPr>
            <w:r>
              <w:rPr>
                <w:rFonts w:hint="eastAsia"/>
              </w:rPr>
              <w:t>设置用户登录后进入的知客页面，默认设置为跳转到【客户】模块</w:t>
            </w:r>
          </w:p>
        </w:tc>
      </w:tr>
      <w:bookmarkEnd w:id="44"/>
    </w:tbl>
    <w:p w14:paraId="06C0470A">
      <w:pPr>
        <w:pStyle w:val="6"/>
      </w:pPr>
      <w:bookmarkStart w:id="45" w:name="数据安全相关参数"/>
      <w:r>
        <w:t xml:space="preserve">4. </w:t>
      </w:r>
      <w:r>
        <w:rPr>
          <w:rFonts w:hint="eastAsia"/>
        </w:rPr>
        <w:t>数据安全相关参数</w:t>
      </w: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7CE5ADC0">
        <w:tblPrEx>
          <w:tblCellMar>
            <w:top w:w="0" w:type="dxa"/>
            <w:left w:w="108" w:type="dxa"/>
            <w:bottom w:w="0" w:type="dxa"/>
            <w:right w:w="108" w:type="dxa"/>
          </w:tblCellMar>
        </w:tblPrEx>
        <w:trPr>
          <w:tblHeader/>
        </w:trPr>
        <w:tc>
          <w:p w14:paraId="3F9A0093">
            <w:pPr>
              <w:pStyle w:val="27"/>
            </w:pPr>
            <w:r>
              <w:rPr>
                <w:rFonts w:hint="eastAsia"/>
              </w:rPr>
              <w:t>配置项及含义</w:t>
            </w:r>
          </w:p>
        </w:tc>
        <w:tc>
          <w:p w14:paraId="1EAE4F72">
            <w:pPr>
              <w:pStyle w:val="27"/>
            </w:pPr>
            <w:r>
              <w:rPr>
                <w:rFonts w:hint="eastAsia"/>
              </w:rPr>
              <w:t>配置项值</w:t>
            </w:r>
          </w:p>
        </w:tc>
        <w:tc>
          <w:p w14:paraId="2F9C9379">
            <w:pPr>
              <w:pStyle w:val="27"/>
            </w:pPr>
            <w:r>
              <w:rPr>
                <w:rFonts w:hint="eastAsia"/>
              </w:rPr>
              <w:t>配置项描述及影响范围</w:t>
            </w:r>
          </w:p>
        </w:tc>
      </w:tr>
      <w:tr w14:paraId="615B7745">
        <w:tblPrEx>
          <w:tblCellMar>
            <w:top w:w="0" w:type="dxa"/>
            <w:left w:w="108" w:type="dxa"/>
            <w:bottom w:w="0" w:type="dxa"/>
            <w:right w:w="108" w:type="dxa"/>
          </w:tblCellMar>
        </w:tblPrEx>
        <w:tc>
          <w:p w14:paraId="53DB0E30">
            <w:pPr>
              <w:pStyle w:val="27"/>
            </w:pPr>
            <w:r>
              <w:t>is_need_encrypt</w:t>
            </w:r>
            <w:r>
              <w:rPr>
                <w:rFonts w:hint="eastAsia"/>
              </w:rPr>
              <w:t>前后端传输数据加解密开关</w:t>
            </w:r>
          </w:p>
        </w:tc>
        <w:tc>
          <w:p w14:paraId="22B803C2">
            <w:pPr>
              <w:pStyle w:val="27"/>
            </w:pPr>
            <w:r>
              <w:t>1</w:t>
            </w:r>
          </w:p>
        </w:tc>
        <w:tc>
          <w:p w14:paraId="6B1EB50A">
            <w:pPr>
              <w:pStyle w:val="27"/>
            </w:pPr>
            <w:r>
              <w:rPr>
                <w:rFonts w:hint="eastAsia"/>
              </w:rPr>
              <w:t>数据传输需要进行加解密</w:t>
            </w:r>
          </w:p>
        </w:tc>
      </w:tr>
      <w:tr w14:paraId="5B26251E">
        <w:tblPrEx>
          <w:tblCellMar>
            <w:top w:w="0" w:type="dxa"/>
            <w:left w:w="108" w:type="dxa"/>
            <w:bottom w:w="0" w:type="dxa"/>
            <w:right w:w="108" w:type="dxa"/>
          </w:tblCellMar>
        </w:tblPrEx>
        <w:tc>
          <w:p w14:paraId="67D8EE6D">
            <w:pPr>
              <w:pStyle w:val="27"/>
            </w:pPr>
          </w:p>
        </w:tc>
        <w:tc>
          <w:p w14:paraId="13842C2D">
            <w:pPr>
              <w:pStyle w:val="27"/>
            </w:pPr>
            <w:r>
              <w:rPr>
                <w:rFonts w:hint="eastAsia"/>
              </w:rPr>
              <w:t>0（默认）</w:t>
            </w:r>
          </w:p>
        </w:tc>
        <w:tc>
          <w:p w14:paraId="36C2D941">
            <w:pPr>
              <w:pStyle w:val="27"/>
            </w:pPr>
            <w:r>
              <w:rPr>
                <w:rFonts w:hint="eastAsia"/>
              </w:rPr>
              <w:t>数据传输不进行加解密</w:t>
            </w:r>
          </w:p>
        </w:tc>
      </w:tr>
      <w:tr w14:paraId="5972FB66">
        <w:tblPrEx>
          <w:tblCellMar>
            <w:top w:w="0" w:type="dxa"/>
            <w:left w:w="108" w:type="dxa"/>
            <w:bottom w:w="0" w:type="dxa"/>
            <w:right w:w="108" w:type="dxa"/>
          </w:tblCellMar>
        </w:tblPrEx>
        <w:tc>
          <w:p w14:paraId="6585F847">
            <w:pPr>
              <w:pStyle w:val="27"/>
            </w:pPr>
            <w:r>
              <w:t>water_set</w:t>
            </w:r>
            <w:r>
              <w:rPr>
                <w:rFonts w:hint="eastAsia"/>
              </w:rPr>
              <w:t>水印内容设置</w:t>
            </w:r>
          </w:p>
        </w:tc>
        <w:tc>
          <w:p w14:paraId="192A3204">
            <w:pPr>
              <w:pStyle w:val="27"/>
            </w:pPr>
            <w:r>
              <w:t>staffName,mobile</w:t>
            </w:r>
          </w:p>
        </w:tc>
        <w:tc>
          <w:p w14:paraId="43173FF0">
            <w:pPr>
              <w:pStyle w:val="27"/>
            </w:pPr>
            <w:r>
              <w:rPr>
                <w:rFonts w:hint="eastAsia"/>
              </w:rPr>
              <w:t>参数值填写需要显示的字段对应的id，以逗号(英文)区分，且只能填2项。可选字段：staffName（员工名称）、mobile（手机号）、deptCode（部门号）、staffId（工号）</w:t>
            </w:r>
          </w:p>
        </w:tc>
      </w:tr>
      <w:bookmarkEnd w:id="45"/>
    </w:tbl>
    <w:p w14:paraId="1FB6246E">
      <w:pPr>
        <w:pStyle w:val="6"/>
      </w:pPr>
      <w:bookmarkStart w:id="46" w:name="渠道2.0相关参数"/>
      <w:r>
        <w:t xml:space="preserve">5. </w:t>
      </w:r>
      <w:r>
        <w:rPr>
          <w:rFonts w:hint="eastAsia"/>
        </w:rPr>
        <w:t>渠道2.0相关参数</w:t>
      </w:r>
    </w:p>
    <w:tbl>
      <w:tblPr>
        <w:tblStyle w:val="44"/>
        <w:tblW w:w="5000" w:type="pct"/>
        <w:tblInd w:w="0" w:type="dxa"/>
        <w:tblLayout w:type="fixed"/>
        <w:tblCellMar>
          <w:top w:w="0" w:type="dxa"/>
          <w:left w:w="108" w:type="dxa"/>
          <w:bottom w:w="0" w:type="dxa"/>
          <w:right w:w="108" w:type="dxa"/>
        </w:tblCellMar>
      </w:tblPr>
      <w:tblGrid>
        <w:gridCol w:w="2657"/>
        <w:gridCol w:w="1771"/>
        <w:gridCol w:w="4428"/>
      </w:tblGrid>
      <w:tr w14:paraId="3AD084E4">
        <w:tblPrEx>
          <w:tblCellMar>
            <w:top w:w="0" w:type="dxa"/>
            <w:left w:w="108" w:type="dxa"/>
            <w:bottom w:w="0" w:type="dxa"/>
            <w:right w:w="108" w:type="dxa"/>
          </w:tblCellMar>
        </w:tblPrEx>
        <w:trPr>
          <w:tblHeader/>
        </w:trPr>
        <w:tc>
          <w:p w14:paraId="1A2C3AFB">
            <w:pPr>
              <w:pStyle w:val="27"/>
            </w:pPr>
            <w:r>
              <w:rPr>
                <w:rFonts w:hint="eastAsia"/>
              </w:rPr>
              <w:t>配置项及含义</w:t>
            </w:r>
          </w:p>
        </w:tc>
        <w:tc>
          <w:p w14:paraId="3CCF8143">
            <w:pPr>
              <w:pStyle w:val="27"/>
            </w:pPr>
            <w:r>
              <w:rPr>
                <w:rFonts w:hint="eastAsia"/>
              </w:rPr>
              <w:t>配置项值</w:t>
            </w:r>
          </w:p>
        </w:tc>
        <w:tc>
          <w:p w14:paraId="7593DC35">
            <w:pPr>
              <w:pStyle w:val="27"/>
            </w:pPr>
            <w:r>
              <w:rPr>
                <w:rFonts w:hint="eastAsia"/>
              </w:rPr>
              <w:t>配置项描述及影响范围</w:t>
            </w:r>
          </w:p>
        </w:tc>
      </w:tr>
      <w:tr w14:paraId="1B678059">
        <w:tblPrEx>
          <w:tblCellMar>
            <w:top w:w="0" w:type="dxa"/>
            <w:left w:w="108" w:type="dxa"/>
            <w:bottom w:w="0" w:type="dxa"/>
            <w:right w:w="108" w:type="dxa"/>
          </w:tblCellMar>
        </w:tblPrEx>
        <w:tc>
          <w:p w14:paraId="7F53A039">
            <w:pPr>
              <w:pStyle w:val="27"/>
            </w:pPr>
            <w:r>
              <w:t>channel_version</w:t>
            </w:r>
            <w:r>
              <w:rPr>
                <w:rFonts w:hint="eastAsia"/>
              </w:rPr>
              <w:t>渠道系统版本</w:t>
            </w:r>
          </w:p>
        </w:tc>
        <w:tc>
          <w:p w14:paraId="480C0EC6">
            <w:pPr>
              <w:pStyle w:val="27"/>
            </w:pPr>
            <w:r>
              <w:rPr>
                <w:rFonts w:hint="eastAsia"/>
              </w:rPr>
              <w:t>V1（默认）</w:t>
            </w:r>
          </w:p>
        </w:tc>
        <w:tc>
          <w:p w14:paraId="2B144AE7">
            <w:pPr>
              <w:pStyle w:val="27"/>
            </w:pPr>
            <w:r>
              <w:rPr>
                <w:rFonts w:hint="eastAsia"/>
              </w:rPr>
              <w:t>对接渠道1.0版本</w:t>
            </w:r>
          </w:p>
        </w:tc>
      </w:tr>
      <w:tr w14:paraId="6161C5A0">
        <w:tblPrEx>
          <w:tblCellMar>
            <w:top w:w="0" w:type="dxa"/>
            <w:left w:w="108" w:type="dxa"/>
            <w:bottom w:w="0" w:type="dxa"/>
            <w:right w:w="108" w:type="dxa"/>
          </w:tblCellMar>
        </w:tblPrEx>
        <w:tc>
          <w:p w14:paraId="158C5C20">
            <w:pPr>
              <w:pStyle w:val="27"/>
            </w:pPr>
          </w:p>
        </w:tc>
        <w:tc>
          <w:p w14:paraId="7C535CE1">
            <w:pPr>
              <w:pStyle w:val="27"/>
            </w:pPr>
            <w:r>
              <w:t>V2</w:t>
            </w:r>
          </w:p>
        </w:tc>
        <w:tc>
          <w:p w14:paraId="5F190E94">
            <w:pPr>
              <w:pStyle w:val="27"/>
            </w:pPr>
            <w:r>
              <w:rPr>
                <w:rFonts w:hint="eastAsia"/>
              </w:rPr>
              <w:t>对接渠道2.0版本（渠道切换版本需要和知客运维同事确认。）</w:t>
            </w:r>
          </w:p>
        </w:tc>
      </w:tr>
      <w:tr w14:paraId="6E8B4AEA">
        <w:tblPrEx>
          <w:tblCellMar>
            <w:top w:w="0" w:type="dxa"/>
            <w:left w:w="108" w:type="dxa"/>
            <w:bottom w:w="0" w:type="dxa"/>
            <w:right w:w="108" w:type="dxa"/>
          </w:tblCellMar>
        </w:tblPrEx>
        <w:tc>
          <w:p w14:paraId="2669874D">
            <w:pPr>
              <w:pStyle w:val="27"/>
            </w:pPr>
            <w:r>
              <w:t>channelV2_msg_wx_textcard_url</w:t>
            </w:r>
            <w:r>
              <w:rPr>
                <w:rFonts w:hint="eastAsia"/>
              </w:rPr>
              <w:t>渠道2.0企微消息卡片跳转页面url</w:t>
            </w:r>
          </w:p>
        </w:tc>
        <w:tc>
          <w:p w14:paraId="54946A10">
            <w:pPr>
              <w:pStyle w:val="27"/>
            </w:pPr>
            <w:r>
              <w:rPr>
                <w:rFonts w:hint="eastAsia"/>
              </w:rPr>
              <w:t>由开发配置</w:t>
            </w:r>
          </w:p>
        </w:tc>
        <w:tc>
          <w:p w14:paraId="49691686">
            <w:pPr>
              <w:pStyle w:val="27"/>
            </w:pPr>
            <w:r>
              <w:rPr>
                <w:rFonts w:hint="eastAsia"/>
              </w:rPr>
              <w:t>维护对接渠道2.0系统，知客消息推送到企微后，点击消息卡片的”查看详情”，跳转的页面url。</w:t>
            </w:r>
          </w:p>
        </w:tc>
      </w:tr>
      <w:bookmarkEnd w:id="39"/>
      <w:bookmarkEnd w:id="41"/>
      <w:bookmarkEnd w:id="46"/>
    </w:tbl>
    <w:p w14:paraId="203FDD89">
      <w:pPr>
        <w:pStyle w:val="4"/>
      </w:pPr>
      <w:bookmarkStart w:id="47" w:name="_Toc5487"/>
      <w:bookmarkStart w:id="48" w:name="八系统指派配置"/>
      <w:r>
        <w:rPr>
          <w:rFonts w:hint="eastAsia"/>
        </w:rPr>
        <w:t>八、系统指派配置</w:t>
      </w:r>
      <w:bookmarkEnd w:id="47"/>
    </w:p>
    <w:p w14:paraId="6813832D">
      <w:pPr>
        <w:pStyle w:val="26"/>
      </w:pPr>
      <w:r>
        <w:rPr>
          <w:rFonts w:hint="eastAsia"/>
        </w:rPr>
        <w:t>此模块用于维护消息模块的提醒是否要转换成系统指派的跟进记录，由客户经理完成跟进。若有个性化需求，请联系系统供应商，由德索系统运维人员进行配置。</w:t>
      </w:r>
    </w:p>
    <w:bookmarkEnd w:id="48"/>
    <w:p w14:paraId="511329E1">
      <w:pPr>
        <w:pStyle w:val="4"/>
      </w:pPr>
      <w:bookmarkStart w:id="49" w:name="_Toc20155"/>
      <w:bookmarkStart w:id="50" w:name="九消息订阅管理"/>
      <w:r>
        <w:rPr>
          <w:rFonts w:hint="eastAsia"/>
        </w:rPr>
        <w:t>九、消息订阅管理</w:t>
      </w:r>
      <w:bookmarkEnd w:id="49"/>
    </w:p>
    <w:p w14:paraId="5D2A89DA">
      <w:pPr>
        <w:pStyle w:val="26"/>
      </w:pPr>
      <w:r>
        <w:rPr>
          <w:rFonts w:hint="eastAsia"/>
        </w:rPr>
        <w:t>此模块提供给管理员为特定业务用户设置消息订阅状态。</w:t>
      </w:r>
    </w:p>
    <w:p w14:paraId="6774C51E">
      <w:pPr>
        <w:pStyle w:val="3"/>
      </w:pPr>
      <w:r>
        <w:drawing>
          <wp:inline distT="0" distB="0" distL="114300" distR="114300">
            <wp:extent cx="5334000" cy="2430145"/>
            <wp:effectExtent l="0" t="0" r="0" b="0"/>
            <wp:docPr id="9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descr="descript"/>
                    <pic:cNvPicPr>
                      <a:picLocks noChangeAspect="1" noChangeArrowheads="1"/>
                    </pic:cNvPicPr>
                  </pic:nvPicPr>
                  <pic:blipFill>
                    <a:blip r:embed="rId22"/>
                    <a:stretch>
                      <a:fillRect/>
                    </a:stretch>
                  </pic:blipFill>
                  <pic:spPr>
                    <a:xfrm>
                      <a:off x="0" y="0"/>
                      <a:ext cx="5334000" cy="2430454"/>
                    </a:xfrm>
                    <a:prstGeom prst="rect">
                      <a:avLst/>
                    </a:prstGeom>
                    <a:noFill/>
                    <a:ln w="9525">
                      <a:noFill/>
                    </a:ln>
                  </pic:spPr>
                </pic:pic>
              </a:graphicData>
            </a:graphic>
          </wp:inline>
        </w:drawing>
      </w:r>
    </w:p>
    <w:p w14:paraId="72E7D17E">
      <w:pPr>
        <w:pStyle w:val="3"/>
      </w:pPr>
      <w:r>
        <w:rPr>
          <w:rFonts w:hint="eastAsia"/>
        </w:rPr>
        <w:t>在左侧的组织架构树中，选中需要设置的业务用户名称，右侧展示系统支持的所有消息类型列表。</w:t>
      </w:r>
    </w:p>
    <w:p w14:paraId="202A80AC">
      <w:pPr>
        <w:pStyle w:val="3"/>
      </w:pPr>
      <w:r>
        <w:rPr>
          <w:rFonts w:hint="eastAsia"/>
        </w:rPr>
        <w:t>列表中复选框勾选表示”订阅”，没有勾选的表示”未订阅”，展示该用户当前最新的消息类型订阅情况，所见即所得。</w:t>
      </w:r>
    </w:p>
    <w:p w14:paraId="26CD85F7">
      <w:pPr>
        <w:pStyle w:val="3"/>
      </w:pPr>
      <w:r>
        <w:rPr>
          <w:rFonts w:hint="eastAsia"/>
        </w:rPr>
        <w:t>每次只能对单个业务用户进行设置。调整设置后，点击”保存设置”按钮，即可保存当前设置内容，即时生效。设置的结果也会实时同步到知客客户端。</w:t>
      </w:r>
    </w:p>
    <w:p w14:paraId="56F5D170">
      <w:pPr>
        <w:pStyle w:val="3"/>
      </w:pPr>
      <w:r>
        <w:drawing>
          <wp:inline distT="0" distB="0" distL="114300" distR="114300">
            <wp:extent cx="5334000" cy="2785110"/>
            <wp:effectExtent l="0" t="0" r="0" b="0"/>
            <wp:docPr id="10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descr="descript"/>
                    <pic:cNvPicPr>
                      <a:picLocks noChangeAspect="1" noChangeArrowheads="1"/>
                    </pic:cNvPicPr>
                  </pic:nvPicPr>
                  <pic:blipFill>
                    <a:blip r:embed="rId23"/>
                    <a:stretch>
                      <a:fillRect/>
                    </a:stretch>
                  </pic:blipFill>
                  <pic:spPr>
                    <a:xfrm>
                      <a:off x="0" y="0"/>
                      <a:ext cx="5334000" cy="2785302"/>
                    </a:xfrm>
                    <a:prstGeom prst="rect">
                      <a:avLst/>
                    </a:prstGeom>
                    <a:noFill/>
                    <a:ln w="9525">
                      <a:noFill/>
                    </a:ln>
                  </pic:spPr>
                </pic:pic>
              </a:graphicData>
            </a:graphic>
          </wp:inline>
        </w:drawing>
      </w:r>
    </w:p>
    <w:p w14:paraId="50EC0894">
      <w:pPr>
        <w:pStyle w:val="3"/>
      </w:pPr>
      <w:r>
        <w:rPr>
          <w:rFonts w:hint="eastAsia"/>
        </w:rPr>
        <w:t>部分消息会根据【消息规则管理】中配置的消息推送策略进行推送，那么在列表中，消息名称右侧就会对应回显该消息的推送策略当前的状态。</w:t>
      </w:r>
    </w:p>
    <w:p w14:paraId="2C29EAFC">
      <w:pPr>
        <w:pStyle w:val="3"/>
      </w:pPr>
      <w:r>
        <w:rPr>
          <w:rFonts w:hint="eastAsia"/>
        </w:rPr>
        <w:t>若策略状态为”关闭”，即使订阅状态设置为”订阅”，也不会给用户推送该类型的消息。</w:t>
      </w:r>
    </w:p>
    <w:p w14:paraId="2145F7ED">
      <w:pPr>
        <w:pStyle w:val="3"/>
      </w:pPr>
      <w:r>
        <w:drawing>
          <wp:inline distT="0" distB="0" distL="114300" distR="114300">
            <wp:extent cx="5323840" cy="2475865"/>
            <wp:effectExtent l="0" t="0" r="0" b="0"/>
            <wp:docPr id="10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descr="descript"/>
                    <pic:cNvPicPr>
                      <a:picLocks noChangeAspect="1" noChangeArrowheads="1"/>
                    </pic:cNvPicPr>
                  </pic:nvPicPr>
                  <pic:blipFill>
                    <a:blip r:embed="rId24"/>
                    <a:stretch>
                      <a:fillRect/>
                    </a:stretch>
                  </pic:blipFill>
                  <pic:spPr>
                    <a:xfrm>
                      <a:off x="0" y="0"/>
                      <a:ext cx="5324399" cy="2476465"/>
                    </a:xfrm>
                    <a:prstGeom prst="rect">
                      <a:avLst/>
                    </a:prstGeom>
                    <a:noFill/>
                    <a:ln w="9525">
                      <a:noFill/>
                    </a:ln>
                  </pic:spPr>
                </pic:pic>
              </a:graphicData>
            </a:graphic>
          </wp:inline>
        </w:drawing>
      </w:r>
    </w:p>
    <w:p w14:paraId="1A680EB2">
      <w:pPr>
        <w:pStyle w:val="5"/>
      </w:pPr>
      <w:bookmarkStart w:id="51" w:name="_Toc10895"/>
      <w:bookmarkStart w:id="52" w:name="单消息类型批量设置"/>
      <w:r>
        <w:rPr>
          <w:rFonts w:hint="eastAsia"/>
        </w:rPr>
        <w:t>单消息类型批量设置</w:t>
      </w:r>
      <w:bookmarkEnd w:id="51"/>
    </w:p>
    <w:p w14:paraId="11208557">
      <w:pPr>
        <w:pStyle w:val="13"/>
      </w:pPr>
      <w:r>
        <w:rPr>
          <w:rFonts w:hint="eastAsia"/>
          <w:b/>
          <w:bCs/>
        </w:rPr>
        <w:t>提示</w:t>
      </w:r>
    </w:p>
    <w:p w14:paraId="433F6CDF">
      <w:pPr>
        <w:pStyle w:val="13"/>
      </w:pPr>
      <w:r>
        <w:rPr>
          <w:rFonts w:hint="eastAsia"/>
        </w:rPr>
        <w:t>该子功能自</w:t>
      </w:r>
      <w:r>
        <w:t xml:space="preserve"> V1.9.5 </w:t>
      </w:r>
      <w:r>
        <w:rPr>
          <w:rFonts w:hint="eastAsia"/>
        </w:rPr>
        <w:t>起新增，用于解决”新增消息类型后需为大量业务人员逐个开启订阅”的效率问题。</w:t>
      </w:r>
    </w:p>
    <w:p w14:paraId="2AC7B354">
      <w:pPr>
        <w:pStyle w:val="26"/>
      </w:pPr>
      <w:r>
        <w:rPr>
          <w:rFonts w:hint="eastAsia"/>
        </w:rPr>
        <w:t>支持</w:t>
      </w:r>
      <w:r>
        <w:rPr>
          <w:rFonts w:hint="eastAsia"/>
          <w:b/>
          <w:bCs/>
        </w:rPr>
        <w:t>按消息类型</w:t>
      </w:r>
      <w:r>
        <w:rPr>
          <w:rFonts w:hint="eastAsia"/>
        </w:rPr>
        <w:t>对特定</w:t>
      </w:r>
      <w:r>
        <w:rPr>
          <w:rFonts w:hint="eastAsia"/>
          <w:b/>
          <w:bCs/>
        </w:rPr>
        <w:t>用户或角色</w:t>
      </w:r>
      <w:r>
        <w:rPr>
          <w:rFonts w:hint="eastAsia"/>
        </w:rPr>
        <w:t>批量设置</w:t>
      </w:r>
      <w:r>
        <w:rPr>
          <w:rFonts w:hint="eastAsia"/>
          <w:b/>
          <w:bCs/>
        </w:rPr>
        <w:t>订阅</w:t>
      </w:r>
      <w:r>
        <w:rPr>
          <w:b/>
          <w:bCs/>
        </w:rPr>
        <w:t xml:space="preserve"> / </w:t>
      </w:r>
      <w:r>
        <w:rPr>
          <w:rFonts w:hint="eastAsia"/>
          <w:b/>
          <w:bCs/>
        </w:rPr>
        <w:t>取消订阅</w:t>
      </w:r>
      <w:r>
        <w:rPr>
          <w:rFonts w:hint="eastAsia"/>
        </w:rPr>
        <w:t>，适用于新上线消息类型的初始化设置场景。</w:t>
      </w:r>
    </w:p>
    <w:p w14:paraId="6B45F4E2">
      <w:pPr>
        <w:pStyle w:val="3"/>
      </w:pPr>
      <w:r>
        <w:rPr>
          <w:rFonts w:hint="eastAsia"/>
        </w:rPr>
        <w:t>例如，管理员要给「客户经理」角色批量开启「结算部强平通知、客户亏损提醒、特殊品种交易权限可开通提醒、客户返还公式到期提醒」这</w:t>
      </w:r>
      <w:r>
        <w:t xml:space="preserve"> 4 </w:t>
      </w:r>
      <w:r>
        <w:rPr>
          <w:rFonts w:hint="eastAsia"/>
        </w:rPr>
        <w:t>个</w:t>
      </w:r>
      <w:r>
        <w:t xml:space="preserve"> V1.9.4 </w:t>
      </w:r>
      <w:r>
        <w:rPr>
          <w:rFonts w:hint="eastAsia"/>
        </w:rPr>
        <w:t>新增的消息类型，操作步骤如下：</w:t>
      </w:r>
    </w:p>
    <w:p w14:paraId="5200D66C">
      <w:pPr>
        <w:pStyle w:val="27"/>
        <w:numPr>
          <w:ilvl w:val="0"/>
          <w:numId w:val="2"/>
        </w:numPr>
      </w:pPr>
      <w:r>
        <w:rPr>
          <w:rFonts w:hint="eastAsia"/>
          <w:b/>
          <w:bCs/>
        </w:rPr>
        <w:t>第一步</w:t>
      </w:r>
      <w:r>
        <w:rPr>
          <w:rFonts w:hint="eastAsia"/>
        </w:rPr>
        <w:t>：在左侧消息类型列表中同时勾选这</w:t>
      </w:r>
      <w:r>
        <w:t xml:space="preserve"> 4 </w:t>
      </w:r>
      <w:r>
        <w:rPr>
          <w:rFonts w:hint="eastAsia"/>
        </w:rPr>
        <w:t>个类型，点击列表顶部的</w:t>
      </w:r>
      <w:r>
        <w:t xml:space="preserve"> </w:t>
      </w:r>
      <w:r>
        <w:rPr>
          <w:rFonts w:hint="eastAsia"/>
          <w:b/>
          <w:bCs/>
        </w:rPr>
        <w:t>“应用”</w:t>
      </w:r>
      <w:r>
        <w:t xml:space="preserve"> </w:t>
      </w:r>
      <w:r>
        <w:rPr>
          <w:rFonts w:hint="eastAsia"/>
        </w:rPr>
        <w:t>按钮；</w:t>
      </w:r>
    </w:p>
    <w:p w14:paraId="03CE2961">
      <w:pPr>
        <w:pStyle w:val="27"/>
        <w:numPr>
          <w:ilvl w:val="0"/>
          <w:numId w:val="2"/>
        </w:numPr>
      </w:pPr>
      <w:r>
        <w:rPr>
          <w:rFonts w:hint="eastAsia"/>
          <w:b/>
          <w:bCs/>
        </w:rPr>
        <w:t>第二步</w:t>
      </w:r>
      <w:r>
        <w:rPr>
          <w:rFonts w:hint="eastAsia"/>
        </w:rPr>
        <w:t>：右侧”应用操作”选择</w:t>
      </w:r>
      <w:r>
        <w:t xml:space="preserve"> </w:t>
      </w:r>
      <w:r>
        <w:rPr>
          <w:rFonts w:hint="eastAsia"/>
          <w:b/>
          <w:bCs/>
        </w:rPr>
        <w:t>“订阅”</w:t>
      </w:r>
      <w:r>
        <w:rPr>
          <w:rFonts w:hint="eastAsia"/>
        </w:rPr>
        <w:t>（或”取消订阅”），“选择应用对象”切换到「按角色」标签页，勾选「客户经理」；</w:t>
      </w:r>
    </w:p>
    <w:p w14:paraId="720082D1">
      <w:pPr>
        <w:pStyle w:val="27"/>
        <w:numPr>
          <w:ilvl w:val="0"/>
          <w:numId w:val="2"/>
        </w:numPr>
      </w:pPr>
      <w:r>
        <w:rPr>
          <w:rFonts w:hint="eastAsia"/>
          <w:b/>
          <w:bCs/>
        </w:rPr>
        <w:t>第三步</w:t>
      </w:r>
      <w:r>
        <w:rPr>
          <w:rFonts w:hint="eastAsia"/>
        </w:rPr>
        <w:t>：核对底部提示的”将影响</w:t>
      </w:r>
      <w:r>
        <w:t xml:space="preserve"> N </w:t>
      </w:r>
      <w:r>
        <w:rPr>
          <w:rFonts w:hint="eastAsia"/>
        </w:rPr>
        <w:t>名用户”，确认无误后点击</w:t>
      </w:r>
      <w:r>
        <w:t xml:space="preserve"> </w:t>
      </w:r>
      <w:r>
        <w:rPr>
          <w:rFonts w:hint="eastAsia"/>
          <w:b/>
          <w:bCs/>
        </w:rPr>
        <w:t>“确认应用”</w:t>
      </w:r>
      <w:r>
        <w:t xml:space="preserve"> </w:t>
      </w:r>
      <w:r>
        <w:rPr>
          <w:rFonts w:hint="eastAsia"/>
        </w:rPr>
        <w:t>完成批量设置。</w:t>
      </w:r>
    </w:p>
    <w:p w14:paraId="6D1477F5">
      <w:pPr>
        <w:pStyle w:val="26"/>
      </w:pPr>
      <w:r>
        <w:drawing>
          <wp:inline distT="0" distB="0" distL="114300" distR="114300">
            <wp:extent cx="5334000" cy="2637790"/>
            <wp:effectExtent l="0" t="0" r="0" b="0"/>
            <wp:docPr id="10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descr="descript"/>
                    <pic:cNvPicPr>
                      <a:picLocks noChangeAspect="1" noChangeArrowheads="1"/>
                    </pic:cNvPicPr>
                  </pic:nvPicPr>
                  <pic:blipFill>
                    <a:blip r:embed="rId25"/>
                    <a:stretch>
                      <a:fillRect/>
                    </a:stretch>
                  </pic:blipFill>
                  <pic:spPr>
                    <a:xfrm>
                      <a:off x="0" y="0"/>
                      <a:ext cx="5334000" cy="2638322"/>
                    </a:xfrm>
                    <a:prstGeom prst="rect">
                      <a:avLst/>
                    </a:prstGeom>
                    <a:noFill/>
                    <a:ln w="9525">
                      <a:noFill/>
                    </a:ln>
                  </pic:spPr>
                </pic:pic>
              </a:graphicData>
            </a:graphic>
          </wp:inline>
        </w:drawing>
      </w:r>
    </w:p>
    <w:p w14:paraId="54CB067A">
      <w:pPr>
        <w:pStyle w:val="3"/>
      </w:pPr>
      <w:r>
        <w:rPr>
          <w:rFonts w:hint="eastAsia"/>
        </w:rPr>
        <w:t>批量操作会</w:t>
      </w:r>
      <w:r>
        <w:rPr>
          <w:rFonts w:hint="eastAsia"/>
          <w:b/>
          <w:bCs/>
        </w:rPr>
        <w:t>直接覆盖</w:t>
      </w:r>
      <w:r>
        <w:rPr>
          <w:rFonts w:hint="eastAsia"/>
        </w:rPr>
        <w:t>被设置对象当前的订阅状态，不会和已有订阅合并；操作前请确认目标用户/角色的现有订阅情况。</w:t>
      </w:r>
    </w:p>
    <w:bookmarkEnd w:id="50"/>
    <w:bookmarkEnd w:id="52"/>
    <w:p w14:paraId="0F23D4C0">
      <w:pPr>
        <w:pStyle w:val="4"/>
      </w:pPr>
      <w:bookmarkStart w:id="53" w:name="_Toc5848"/>
      <w:bookmarkStart w:id="54" w:name="十隐私协议管理"/>
      <w:r>
        <w:rPr>
          <w:rFonts w:hint="eastAsia"/>
        </w:rPr>
        <w:t>十、隐私协议管理</w:t>
      </w:r>
      <w:bookmarkEnd w:id="53"/>
    </w:p>
    <w:p w14:paraId="17ED2056">
      <w:pPr>
        <w:pStyle w:val="26"/>
      </w:pPr>
      <w:r>
        <w:rPr>
          <w:rFonts w:hint="eastAsia"/>
        </w:rPr>
        <w:t>自</w:t>
      </w:r>
      <w:r>
        <w:t xml:space="preserve"> V1.9.5 </w:t>
      </w:r>
      <w:r>
        <w:rPr>
          <w:rFonts w:hint="eastAsia"/>
        </w:rPr>
        <w:t>起，为满足金融行业对客户隐私保护的强制合规要求，知客登录后会强制弹出用户隐私协议，需用户阅读并确认后方可继续使用。本模块用于维护协议的启用状态、标题和正文内容。</w:t>
      </w:r>
    </w:p>
    <w:p w14:paraId="53A59ACD">
      <w:pPr>
        <w:pStyle w:val="3"/>
      </w:pPr>
      <w:r>
        <w:rPr>
          <w:rFonts w:hint="eastAsia"/>
        </w:rPr>
        <w:t>通过新增协议版本来更新协议内容，系统会保留历史版本以便追溯，已确认过老版本的用户在协议版本更新后会被要求重新阅读并确认新版本。</w:t>
      </w:r>
    </w:p>
    <w:p w14:paraId="605F0CD1">
      <w:pPr>
        <w:pStyle w:val="3"/>
      </w:pPr>
      <w:r>
        <w:drawing>
          <wp:inline distT="0" distB="0" distL="114300" distR="114300">
            <wp:extent cx="5334000" cy="3593465"/>
            <wp:effectExtent l="0" t="0" r="0" b="0"/>
            <wp:docPr id="11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descr="descript"/>
                    <pic:cNvPicPr>
                      <a:picLocks noChangeAspect="1" noChangeArrowheads="1"/>
                    </pic:cNvPicPr>
                  </pic:nvPicPr>
                  <pic:blipFill>
                    <a:blip r:embed="rId26"/>
                    <a:stretch>
                      <a:fillRect/>
                    </a:stretch>
                  </pic:blipFill>
                  <pic:spPr>
                    <a:xfrm>
                      <a:off x="0" y="0"/>
                      <a:ext cx="5334000" cy="3593563"/>
                    </a:xfrm>
                    <a:prstGeom prst="rect">
                      <a:avLst/>
                    </a:prstGeom>
                    <a:noFill/>
                    <a:ln w="9525">
                      <a:noFill/>
                    </a:ln>
                  </pic:spPr>
                </pic:pic>
              </a:graphicData>
            </a:graphic>
          </wp:inline>
        </w:drawing>
      </w:r>
    </w:p>
    <w:p w14:paraId="150CE2A3">
      <w:pPr>
        <w:pStyle w:val="13"/>
      </w:pPr>
      <w:r>
        <w:rPr>
          <w:rFonts w:hint="eastAsia"/>
          <w:b/>
          <w:bCs/>
        </w:rPr>
        <w:t>提示</w:t>
      </w:r>
    </w:p>
    <w:p w14:paraId="5C9348DD">
      <w:pPr>
        <w:pStyle w:val="27"/>
        <w:numPr>
          <w:ilvl w:val="0"/>
          <w:numId w:val="1"/>
        </w:numPr>
      </w:pPr>
      <w:r>
        <w:rPr>
          <w:rFonts w:hint="eastAsia"/>
        </w:rPr>
        <w:t>协议正文支持富文本格式（粗体、斜体、下划线、列表、超链接等），便于强调合规要点。</w:t>
      </w:r>
    </w:p>
    <w:p w14:paraId="11B19634">
      <w:pPr>
        <w:pStyle w:val="27"/>
        <w:numPr>
          <w:ilvl w:val="0"/>
          <w:numId w:val="1"/>
        </w:numPr>
      </w:pPr>
      <w:r>
        <w:rPr>
          <w:rFonts w:hint="eastAsia"/>
        </w:rPr>
        <w:t>一键开关可暂时关闭协议弹窗（不建议长期关闭，否则不满足合规要求）。</w:t>
      </w:r>
    </w:p>
    <w:bookmarkEnd w:id="54"/>
    <w:p w14:paraId="469AD7FE">
      <w:pPr>
        <w:pStyle w:val="4"/>
      </w:pPr>
      <w:bookmarkStart w:id="55" w:name="_Toc19935"/>
      <w:bookmarkStart w:id="56" w:name="十一消息订阅黑名单管理"/>
      <w:r>
        <w:rPr>
          <w:rFonts w:hint="eastAsia"/>
        </w:rPr>
        <w:t>十一、消息订阅黑名单管理</w:t>
      </w:r>
      <w:bookmarkEnd w:id="55"/>
    </w:p>
    <w:p w14:paraId="087A5639">
      <w:pPr>
        <w:pStyle w:val="13"/>
      </w:pPr>
      <w:r>
        <w:rPr>
          <w:rFonts w:hint="eastAsia"/>
          <w:b/>
          <w:bCs/>
        </w:rPr>
        <w:t>提示</w:t>
      </w:r>
    </w:p>
    <w:p w14:paraId="2725739D">
      <w:pPr>
        <w:pStyle w:val="13"/>
      </w:pPr>
      <w:r>
        <w:rPr>
          <w:rFonts w:hint="eastAsia"/>
        </w:rPr>
        <w:t>该模块自</w:t>
      </w:r>
      <w:r>
        <w:t xml:space="preserve"> V1.9.6 </w:t>
      </w:r>
      <w:r>
        <w:rPr>
          <w:rFonts w:hint="eastAsia"/>
        </w:rPr>
        <w:t>起新增。</w:t>
      </w:r>
    </w:p>
    <w:p w14:paraId="15D8106B">
      <w:pPr>
        <w:pStyle w:val="26"/>
      </w:pPr>
      <w:r>
        <w:rPr>
          <w:rFonts w:hint="eastAsia"/>
        </w:rPr>
        <w:t>期货公司出于合规隔离要求，通常需将”资产管理计划”类客户与普通客户区分管理。但由于历史数据结构原因，这类客户仍挂靠在客户经理名下，若按常规逻辑推送业务消息（如交易通知、资金变动等），将产生合规风险。</w:t>
      </w:r>
    </w:p>
    <w:p w14:paraId="6DFB887C">
      <w:pPr>
        <w:pStyle w:val="3"/>
      </w:pPr>
      <w:r>
        <w:rPr>
          <w:rFonts w:hint="eastAsia"/>
        </w:rPr>
        <w:t>本模块支持</w:t>
      </w:r>
      <w:r>
        <w:rPr>
          <w:rFonts w:hint="eastAsia"/>
          <w:b/>
          <w:bCs/>
        </w:rPr>
        <w:t>手工添加黑名单客户</w:t>
      </w:r>
      <w:r>
        <w:rPr>
          <w:rFonts w:hint="eastAsia"/>
        </w:rPr>
        <w:t>。客户一旦加入黑名单，其</w:t>
      </w:r>
      <w:r>
        <w:rPr>
          <w:rFonts w:hint="eastAsia"/>
          <w:b/>
          <w:bCs/>
        </w:rPr>
        <w:t>所有类型的消息</w:t>
      </w:r>
      <w:r>
        <w:rPr>
          <w:rFonts w:hint="eastAsia"/>
        </w:rPr>
        <w:t>均</w:t>
      </w:r>
      <w:r>
        <w:rPr>
          <w:rFonts w:hint="eastAsia"/>
          <w:b/>
          <w:bCs/>
        </w:rPr>
        <w:t>不再推送给任何角色</w:t>
      </w:r>
      <w:r>
        <w:rPr>
          <w:rFonts w:hint="eastAsia"/>
        </w:rPr>
        <w:t>（包括客户经理、部门经理、总部管理人员等），实现全局屏蔽，实时生效。</w:t>
      </w:r>
    </w:p>
    <w:p w14:paraId="1469669D">
      <w:pPr>
        <w:pStyle w:val="3"/>
      </w:pPr>
      <w:r>
        <w:drawing>
          <wp:inline distT="0" distB="0" distL="114300" distR="114300">
            <wp:extent cx="5334000" cy="2884170"/>
            <wp:effectExtent l="0" t="0" r="0" b="0"/>
            <wp:docPr id="11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descr="descript"/>
                    <pic:cNvPicPr>
                      <a:picLocks noChangeAspect="1" noChangeArrowheads="1"/>
                    </pic:cNvPicPr>
                  </pic:nvPicPr>
                  <pic:blipFill>
                    <a:blip r:embed="rId27"/>
                    <a:stretch>
                      <a:fillRect/>
                    </a:stretch>
                  </pic:blipFill>
                  <pic:spPr>
                    <a:xfrm>
                      <a:off x="0" y="0"/>
                      <a:ext cx="5334000" cy="2884383"/>
                    </a:xfrm>
                    <a:prstGeom prst="rect">
                      <a:avLst/>
                    </a:prstGeom>
                    <a:noFill/>
                    <a:ln w="9525">
                      <a:noFill/>
                    </a:ln>
                  </pic:spPr>
                </pic:pic>
              </a:graphicData>
            </a:graphic>
          </wp:inline>
        </w:drawing>
      </w:r>
    </w:p>
    <w:p w14:paraId="23EEADBB">
      <w:pPr>
        <w:pStyle w:val="3"/>
      </w:pPr>
      <w:r>
        <w:rPr>
          <w:rFonts w:hint="eastAsia"/>
        </w:rPr>
        <w:t>黑名单为全局设置，优先级高于业务用户在知客客户端【消息设置-订阅客户】中的白名单订阅以及</w:t>
      </w:r>
      <w:r>
        <w:fldChar w:fldCharType="begin"/>
      </w:r>
      <w:r>
        <w:instrText xml:space="preserve"> HYPERLINK \l "九、消息订阅管理" \h </w:instrText>
      </w:r>
      <w:r>
        <w:fldChar w:fldCharType="separate"/>
      </w:r>
      <w:r>
        <w:rPr>
          <w:rStyle w:val="23"/>
          <w:rFonts w:hint="eastAsia"/>
        </w:rPr>
        <w:t>九、消息订阅管理</w:t>
      </w:r>
      <w:r>
        <w:rPr>
          <w:rStyle w:val="23"/>
          <w:rFonts w:hint="eastAsia"/>
        </w:rPr>
        <w:fldChar w:fldCharType="end"/>
      </w:r>
      <w:r>
        <w:rPr>
          <w:rFonts w:hint="eastAsia"/>
        </w:rPr>
        <w:t>中的订阅设置。</w:t>
      </w:r>
    </w:p>
    <w:bookmarkEnd w:id="56"/>
    <w:p w14:paraId="2F3FEC62">
      <w:pPr>
        <w:pStyle w:val="4"/>
      </w:pPr>
      <w:bookmarkStart w:id="57" w:name="_Toc918"/>
      <w:bookmarkStart w:id="58" w:name="十二知客用户活跃度"/>
      <w:r>
        <w:rPr>
          <w:rFonts w:hint="eastAsia"/>
        </w:rPr>
        <w:t>十二、知客用户活跃度</w:t>
      </w:r>
      <w:bookmarkEnd w:id="57"/>
    </w:p>
    <w:p w14:paraId="5E2E50D9">
      <w:pPr>
        <w:pStyle w:val="13"/>
      </w:pPr>
      <w:r>
        <w:rPr>
          <w:rFonts w:hint="eastAsia"/>
          <w:b/>
          <w:bCs/>
        </w:rPr>
        <w:t>提示</w:t>
      </w:r>
    </w:p>
    <w:p w14:paraId="005F6201">
      <w:pPr>
        <w:pStyle w:val="13"/>
      </w:pPr>
      <w:r>
        <w:rPr>
          <w:rFonts w:hint="eastAsia"/>
        </w:rPr>
        <w:t>该模块自</w:t>
      </w:r>
      <w:r>
        <w:t xml:space="preserve"> V1.9.6 </w:t>
      </w:r>
      <w:r>
        <w:rPr>
          <w:rFonts w:hint="eastAsia"/>
        </w:rPr>
        <w:t>起新增，供管理层查阅知客在公司内部的使用情况。</w:t>
      </w:r>
    </w:p>
    <w:p w14:paraId="7CEDFEE2">
      <w:pPr>
        <w:pStyle w:val="26"/>
      </w:pPr>
      <w:r>
        <w:rPr>
          <w:rFonts w:hint="eastAsia"/>
        </w:rPr>
        <w:t>提供关键指标与趋势分析：</w:t>
      </w:r>
    </w:p>
    <w:p w14:paraId="2DEF02A3">
      <w:pPr>
        <w:pStyle w:val="27"/>
        <w:numPr>
          <w:ilvl w:val="0"/>
          <w:numId w:val="1"/>
        </w:numPr>
      </w:pPr>
      <w:r>
        <w:rPr>
          <w:rFonts w:hint="eastAsia"/>
          <w:b/>
          <w:bCs/>
        </w:rPr>
        <w:t>关键指标卡片</w:t>
      </w:r>
      <w:r>
        <w:rPr>
          <w:rFonts w:hint="eastAsia"/>
        </w:rPr>
        <w:t>：昨日活跃用户数、近</w:t>
      </w:r>
      <w:r>
        <w:t xml:space="preserve"> 1 </w:t>
      </w:r>
      <w:r>
        <w:rPr>
          <w:rFonts w:hint="eastAsia"/>
        </w:rPr>
        <w:t>个月</w:t>
      </w:r>
      <w:r>
        <w:t xml:space="preserve"> / 3 </w:t>
      </w:r>
      <w:r>
        <w:rPr>
          <w:rFonts w:hint="eastAsia"/>
        </w:rPr>
        <w:t>个月峰值、本月</w:t>
      </w:r>
      <w:r>
        <w:t xml:space="preserve"> / </w:t>
      </w:r>
      <w:r>
        <w:rPr>
          <w:rFonts w:hint="eastAsia"/>
        </w:rPr>
        <w:t>本季</w:t>
      </w:r>
      <w:r>
        <w:t xml:space="preserve"> / </w:t>
      </w:r>
      <w:r>
        <w:rPr>
          <w:rFonts w:hint="eastAsia"/>
        </w:rPr>
        <w:t>本年交易日日均活跃用户数。均按用户粒度去重统计，非登录次数。</w:t>
      </w:r>
    </w:p>
    <w:p w14:paraId="21D496ED">
      <w:pPr>
        <w:pStyle w:val="27"/>
        <w:numPr>
          <w:ilvl w:val="0"/>
          <w:numId w:val="1"/>
        </w:numPr>
      </w:pPr>
      <w:r>
        <w:rPr>
          <w:rFonts w:hint="eastAsia"/>
          <w:b/>
          <w:bCs/>
        </w:rPr>
        <w:t>每日登录趋势图</w:t>
      </w:r>
      <w:r>
        <w:rPr>
          <w:rFonts w:hint="eastAsia"/>
        </w:rPr>
        <w:t>：支持近</w:t>
      </w:r>
      <w:r>
        <w:t xml:space="preserve"> 1 </w:t>
      </w:r>
      <w:r>
        <w:rPr>
          <w:rFonts w:hint="eastAsia"/>
        </w:rPr>
        <w:t>个月</w:t>
      </w:r>
      <w:r>
        <w:t xml:space="preserve"> / 3 </w:t>
      </w:r>
      <w:r>
        <w:rPr>
          <w:rFonts w:hint="eastAsia"/>
        </w:rPr>
        <w:t>个月</w:t>
      </w:r>
      <w:r>
        <w:t xml:space="preserve"> / </w:t>
      </w:r>
      <w:r>
        <w:rPr>
          <w:rFonts w:hint="eastAsia"/>
        </w:rPr>
        <w:t>半年筛选，并可导出</w:t>
      </w:r>
      <w:r>
        <w:t xml:space="preserve"> Excel。</w:t>
      </w:r>
    </w:p>
    <w:p w14:paraId="7FA1C1E5">
      <w:pPr>
        <w:pStyle w:val="27"/>
        <w:numPr>
          <w:ilvl w:val="0"/>
          <w:numId w:val="1"/>
        </w:numPr>
      </w:pPr>
      <w:r>
        <w:rPr>
          <w:rFonts w:hint="eastAsia"/>
          <w:b/>
          <w:bCs/>
        </w:rPr>
        <w:t>营业部统计表</w:t>
      </w:r>
      <w:r>
        <w:rPr>
          <w:rFonts w:hint="eastAsia"/>
        </w:rPr>
        <w:t>：展示各营业部员工数、日均活跃用户数，支持按日期和部门筛选。</w:t>
      </w:r>
    </w:p>
    <w:p w14:paraId="20EB8E65">
      <w:pPr>
        <w:pStyle w:val="26"/>
      </w:pPr>
      <w:r>
        <w:drawing>
          <wp:inline distT="0" distB="0" distL="114300" distR="114300">
            <wp:extent cx="5334000" cy="2499995"/>
            <wp:effectExtent l="0" t="0" r="0" b="0"/>
            <wp:docPr id="12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descr="descript"/>
                    <pic:cNvPicPr>
                      <a:picLocks noChangeAspect="1" noChangeArrowheads="1"/>
                    </pic:cNvPicPr>
                  </pic:nvPicPr>
                  <pic:blipFill>
                    <a:blip r:embed="rId28"/>
                    <a:stretch>
                      <a:fillRect/>
                    </a:stretch>
                  </pic:blipFill>
                  <pic:spPr>
                    <a:xfrm>
                      <a:off x="0" y="0"/>
                      <a:ext cx="5334000" cy="2500574"/>
                    </a:xfrm>
                    <a:prstGeom prst="rect">
                      <a:avLst/>
                    </a:prstGeom>
                    <a:noFill/>
                    <a:ln w="9525">
                      <a:noFill/>
                    </a:ln>
                  </pic:spPr>
                </pic:pic>
              </a:graphicData>
            </a:graphic>
          </wp:inline>
        </w:drawing>
      </w:r>
    </w:p>
    <w:bookmarkEnd w:id="1"/>
    <w:bookmarkEnd w:id="58"/>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1C9928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uiPriority w:val="0"/>
  </w:style>
  <w:style w:type="table" w:default="1" w:styleId="21">
    <w:name w:val="Normal Table"/>
    <w:uiPriority w:val="0"/>
    <w:tblPr>
      <w:tblCellMar>
        <w:top w:w="0" w:type="dxa"/>
        <w:left w:w="108" w:type="dxa"/>
        <w:bottom w:w="0" w:type="dxa"/>
        <w:right w:w="108" w:type="dxa"/>
      </w:tblCellMar>
    </w:tblPr>
  </w:style>
  <w:style w:type="paragraph" w:styleId="3">
    <w:name w:val="Body Text"/>
    <w:basedOn w:val="1"/>
    <w:link w:val="24"/>
    <w:qFormat/>
    <w:uiPriority w:val="0"/>
    <w:pPr>
      <w:spacing w:before="180" w:after="180"/>
    </w:pPr>
  </w:style>
  <w:style w:type="paragraph" w:styleId="12">
    <w:name w:val="caption"/>
    <w:basedOn w:val="1"/>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toc 3"/>
    <w:basedOn w:val="1"/>
    <w:next w:val="1"/>
    <w:uiPriority w:val="0"/>
    <w:pPr>
      <w:ind w:left="840" w:leftChars="400"/>
    </w:pPr>
  </w:style>
  <w:style w:type="paragraph" w:styleId="15">
    <w:name w:val="Date"/>
    <w:basedOn w:val="16"/>
    <w:next w:val="3"/>
    <w:qFormat/>
    <w:uiPriority w:val="0"/>
    <w:pPr>
      <w:keepNext/>
      <w:keepLines/>
    </w:pPr>
    <w:rPr>
      <w:sz w:val="24"/>
      <w:szCs w:val="24"/>
    </w:rPr>
  </w:style>
  <w:style w:type="paragraph" w:styleId="16">
    <w:name w:val="Title"/>
    <w:basedOn w:val="1"/>
    <w:next w:val="3"/>
    <w:link w:val="28"/>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7">
    <w:name w:val="toc 1"/>
    <w:basedOn w:val="1"/>
    <w:next w:val="1"/>
    <w:uiPriority w:val="0"/>
  </w:style>
  <w:style w:type="paragraph" w:styleId="18">
    <w:name w:val="Subtitle"/>
    <w:basedOn w:val="16"/>
    <w:next w:val="3"/>
    <w:link w:val="29"/>
    <w:qFormat/>
    <w:uiPriority w:val="11"/>
    <w:rPr>
      <w:rFonts w:eastAsiaTheme="majorEastAsia" w:cstheme="majorBidi"/>
      <w:spacing w:val="15"/>
      <w:sz w:val="28"/>
      <w:szCs w:val="28"/>
    </w:rPr>
  </w:style>
  <w:style w:type="paragraph" w:styleId="19">
    <w:name w:val="footnote text"/>
    <w:basedOn w:val="1"/>
    <w:unhideWhenUsed/>
    <w:qFormat/>
    <w:uiPriority w:val="9"/>
  </w:style>
  <w:style w:type="paragraph" w:styleId="20">
    <w:name w:val="toc 2"/>
    <w:basedOn w:val="1"/>
    <w:next w:val="1"/>
    <w:uiPriority w:val="0"/>
    <w:pPr>
      <w:ind w:left="420" w:leftChars="200"/>
    </w:pPr>
  </w:style>
  <w:style w:type="character" w:styleId="23">
    <w:name w:val="Hyperlink"/>
    <w:basedOn w:val="24"/>
    <w:uiPriority w:val="0"/>
    <w:rPr>
      <w:color w:val="156082" w:themeColor="accent1"/>
    </w:rPr>
  </w:style>
  <w:style w:type="character" w:customStyle="1" w:styleId="24">
    <w:name w:val="Body Text Char"/>
    <w:basedOn w:val="22"/>
    <w:link w:val="3"/>
    <w:uiPriority w:val="0"/>
  </w:style>
  <w:style w:type="character" w:styleId="25">
    <w:name w:val="footnote reference"/>
    <w:basedOn w:val="24"/>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Title Char"/>
    <w:basedOn w:val="22"/>
    <w:link w:val="16"/>
    <w:qFormat/>
    <w:uiPriority w:val="10"/>
    <w:rPr>
      <w:rFonts w:asciiTheme="majorHAnsi" w:hAnsiTheme="majorHAnsi" w:eastAsiaTheme="majorEastAsia" w:cstheme="majorBidi"/>
      <w:sz w:val="56"/>
      <w:szCs w:val="56"/>
    </w:rPr>
  </w:style>
  <w:style w:type="character" w:customStyle="1" w:styleId="29">
    <w:name w:val="Subtitle Char"/>
    <w:basedOn w:val="22"/>
    <w:link w:val="18"/>
    <w:uiPriority w:val="11"/>
    <w:rPr>
      <w:rFonts w:eastAsiaTheme="majorEastAsia" w:cstheme="majorBidi"/>
      <w:color w:val="585858" w:themeColor="text1" w:themeTint="A6"/>
      <w:spacing w:val="15"/>
      <w:sz w:val="28"/>
      <w:szCs w:val="28"/>
    </w:rPr>
  </w:style>
  <w:style w:type="paragraph" w:customStyle="1" w:styleId="30">
    <w:name w:val="Author"/>
    <w:basedOn w:val="16"/>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Heading 1 Char"/>
    <w:basedOn w:val="22"/>
    <w:link w:val="2"/>
    <w:uiPriority w:val="9"/>
    <w:rPr>
      <w:rFonts w:asciiTheme="majorHAnsi" w:hAnsiTheme="majorHAnsi" w:eastAsiaTheme="majorEastAsia" w:cstheme="majorBidi"/>
      <w:color w:val="0F4761" w:themeColor="accent1" w:themeShade="BF"/>
      <w:sz w:val="40"/>
      <w:szCs w:val="40"/>
    </w:rPr>
  </w:style>
  <w:style w:type="character" w:customStyle="1" w:styleId="35">
    <w:name w:val="Heading 2 Char"/>
    <w:basedOn w:val="22"/>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6">
    <w:name w:val="Heading 3 Char"/>
    <w:basedOn w:val="22"/>
    <w:link w:val="5"/>
    <w:semiHidden/>
    <w:uiPriority w:val="9"/>
    <w:rPr>
      <w:rFonts w:eastAsiaTheme="majorEastAsia" w:cstheme="majorBidi"/>
      <w:color w:val="0F4761" w:themeColor="accent1" w:themeShade="BF"/>
      <w:sz w:val="28"/>
      <w:szCs w:val="28"/>
    </w:rPr>
  </w:style>
  <w:style w:type="character" w:customStyle="1" w:styleId="37">
    <w:name w:val="Heading 4 Char"/>
    <w:basedOn w:val="22"/>
    <w:link w:val="6"/>
    <w:semiHidden/>
    <w:uiPriority w:val="9"/>
    <w:rPr>
      <w:rFonts w:eastAsiaTheme="majorEastAsia" w:cstheme="majorBidi"/>
      <w:i/>
      <w:iCs/>
      <w:color w:val="0F4761" w:themeColor="accent1" w:themeShade="BF"/>
    </w:rPr>
  </w:style>
  <w:style w:type="character" w:customStyle="1" w:styleId="38">
    <w:name w:val="Heading 5 Char"/>
    <w:basedOn w:val="22"/>
    <w:link w:val="7"/>
    <w:semiHidden/>
    <w:qFormat/>
    <w:uiPriority w:val="9"/>
    <w:rPr>
      <w:rFonts w:eastAsiaTheme="majorEastAsia" w:cstheme="majorBidi"/>
      <w:color w:val="0F4761" w:themeColor="accent1" w:themeShade="BF"/>
    </w:rPr>
  </w:style>
  <w:style w:type="character" w:customStyle="1" w:styleId="39">
    <w:name w:val="Heading 6 Char"/>
    <w:basedOn w:val="22"/>
    <w:link w:val="8"/>
    <w:semiHidden/>
    <w:qFormat/>
    <w:uiPriority w:val="9"/>
    <w:rPr>
      <w:rFonts w:eastAsiaTheme="majorEastAsia" w:cstheme="majorBidi"/>
      <w:i/>
      <w:iCs/>
      <w:color w:val="585858" w:themeColor="text1" w:themeTint="A6"/>
    </w:rPr>
  </w:style>
  <w:style w:type="character" w:customStyle="1" w:styleId="40">
    <w:name w:val="Heading 7 Char"/>
    <w:basedOn w:val="22"/>
    <w:link w:val="9"/>
    <w:semiHidden/>
    <w:uiPriority w:val="9"/>
    <w:rPr>
      <w:rFonts w:eastAsiaTheme="majorEastAsia" w:cstheme="majorBidi"/>
      <w:color w:val="585858" w:themeColor="text1" w:themeTint="A6"/>
    </w:rPr>
  </w:style>
  <w:style w:type="character" w:customStyle="1" w:styleId="41">
    <w:name w:val="Heading 8 Char"/>
    <w:basedOn w:val="22"/>
    <w:link w:val="10"/>
    <w:semiHidden/>
    <w:uiPriority w:val="9"/>
    <w:rPr>
      <w:rFonts w:eastAsiaTheme="majorEastAsia" w:cstheme="majorBidi"/>
      <w:i/>
      <w:iCs/>
      <w:color w:val="262626" w:themeColor="text1" w:themeTint="D8"/>
    </w:rPr>
  </w:style>
  <w:style w:type="character" w:customStyle="1" w:styleId="42">
    <w:name w:val="Heading 9 Char"/>
    <w:basedOn w:val="22"/>
    <w:link w:val="11"/>
    <w:semiHidden/>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firstLine="0"/>
    </w:pPr>
  </w:style>
  <w:style w:type="table" w:customStyle="1" w:styleId="44">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5">
    <w:name w:val="Definition Term"/>
    <w:basedOn w:val="1"/>
    <w:next w:val="46"/>
    <w:uiPriority w:val="0"/>
    <w:pPr>
      <w:keepNext/>
      <w:keepLines/>
      <w:spacing w:after="0"/>
    </w:pPr>
    <w:rPr>
      <w:b/>
    </w:rPr>
  </w:style>
  <w:style w:type="paragraph" w:customStyle="1" w:styleId="46">
    <w:name w:val="Definition"/>
    <w:basedOn w:val="1"/>
    <w:uiPriority w:val="0"/>
  </w:style>
  <w:style w:type="paragraph" w:customStyle="1" w:styleId="47">
    <w:name w:val="Table Caption"/>
    <w:basedOn w:val="12"/>
    <w:uiPriority w:val="0"/>
    <w:pPr>
      <w:keepNext/>
    </w:pPr>
  </w:style>
  <w:style w:type="paragraph" w:customStyle="1" w:styleId="48">
    <w:name w:val="Image Caption"/>
    <w:basedOn w:val="12"/>
    <w:uiPriority w:val="0"/>
  </w:style>
  <w:style w:type="paragraph" w:customStyle="1" w:styleId="49">
    <w:name w:val="Figure"/>
    <w:basedOn w:val="1"/>
    <w:uiPriority w:val="0"/>
  </w:style>
  <w:style w:type="paragraph" w:customStyle="1" w:styleId="50">
    <w:name w:val="Captioned Figure"/>
    <w:basedOn w:val="49"/>
    <w:uiPriority w:val="0"/>
    <w:pPr>
      <w:keepNext/>
    </w:pPr>
  </w:style>
  <w:style w:type="character" w:customStyle="1" w:styleId="51">
    <w:name w:val="Verbatim Char"/>
    <w:basedOn w:val="24"/>
    <w:link w:val="52"/>
    <w:uiPriority w:val="0"/>
    <w:rPr>
      <w:rFonts w:ascii="Consolas" w:hAnsi="Consolas"/>
      <w:sz w:val="22"/>
    </w:rPr>
  </w:style>
  <w:style w:type="paragraph" w:customStyle="1" w:styleId="52">
    <w:name w:val="Source Code"/>
    <w:basedOn w:val="1"/>
    <w:link w:val="51"/>
    <w:uiPriority w:val="0"/>
    <w:pPr>
      <w:wordWrap w:val="0"/>
    </w:pPr>
  </w:style>
  <w:style w:type="character" w:customStyle="1" w:styleId="53">
    <w:name w:val="Section Number"/>
    <w:basedOn w:val="24"/>
    <w:uiPriority w:val="0"/>
  </w:style>
  <w:style w:type="paragraph" w:customStyle="1" w:styleId="54">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5">
    <w:name w:val="KeywordTok"/>
    <w:basedOn w:val="51"/>
    <w:uiPriority w:val="0"/>
    <w:rPr>
      <w:b/>
      <w:color w:val="007020"/>
    </w:rPr>
  </w:style>
  <w:style w:type="character" w:customStyle="1" w:styleId="56">
    <w:name w:val="DataTypeTok"/>
    <w:basedOn w:val="51"/>
    <w:uiPriority w:val="0"/>
    <w:rPr>
      <w:color w:val="902000"/>
    </w:rPr>
  </w:style>
  <w:style w:type="character" w:customStyle="1" w:styleId="57">
    <w:name w:val="DecValTok"/>
    <w:basedOn w:val="51"/>
    <w:uiPriority w:val="0"/>
    <w:rPr>
      <w:color w:val="40A070"/>
    </w:rPr>
  </w:style>
  <w:style w:type="character" w:customStyle="1" w:styleId="58">
    <w:name w:val="BaseNTok"/>
    <w:basedOn w:val="51"/>
    <w:uiPriority w:val="0"/>
    <w:rPr>
      <w:color w:val="40A070"/>
    </w:rPr>
  </w:style>
  <w:style w:type="character" w:customStyle="1" w:styleId="59">
    <w:name w:val="FloatTok"/>
    <w:basedOn w:val="51"/>
    <w:uiPriority w:val="0"/>
    <w:rPr>
      <w:color w:val="40A070"/>
    </w:rPr>
  </w:style>
  <w:style w:type="character" w:customStyle="1" w:styleId="60">
    <w:name w:val="ConstantTok"/>
    <w:basedOn w:val="51"/>
    <w:uiPriority w:val="0"/>
    <w:rPr>
      <w:color w:val="880000"/>
    </w:rPr>
  </w:style>
  <w:style w:type="character" w:customStyle="1" w:styleId="61">
    <w:name w:val="CharTok"/>
    <w:basedOn w:val="51"/>
    <w:uiPriority w:val="0"/>
    <w:rPr>
      <w:color w:val="4070A0"/>
    </w:rPr>
  </w:style>
  <w:style w:type="character" w:customStyle="1" w:styleId="62">
    <w:name w:val="SpecialCharTok"/>
    <w:basedOn w:val="51"/>
    <w:uiPriority w:val="0"/>
    <w:rPr>
      <w:color w:val="4070A0"/>
    </w:rPr>
  </w:style>
  <w:style w:type="character" w:customStyle="1" w:styleId="63">
    <w:name w:val="StringTok"/>
    <w:basedOn w:val="51"/>
    <w:uiPriority w:val="0"/>
    <w:rPr>
      <w:color w:val="4070A0"/>
    </w:rPr>
  </w:style>
  <w:style w:type="character" w:customStyle="1" w:styleId="64">
    <w:name w:val="VerbatimStringTok"/>
    <w:basedOn w:val="51"/>
    <w:uiPriority w:val="0"/>
    <w:rPr>
      <w:color w:val="4070A0"/>
    </w:rPr>
  </w:style>
  <w:style w:type="character" w:customStyle="1" w:styleId="65">
    <w:name w:val="SpecialStringTok"/>
    <w:basedOn w:val="51"/>
    <w:uiPriority w:val="0"/>
    <w:rPr>
      <w:color w:val="BB6688"/>
    </w:rPr>
  </w:style>
  <w:style w:type="character" w:customStyle="1" w:styleId="66">
    <w:name w:val="ImportTok"/>
    <w:basedOn w:val="51"/>
    <w:uiPriority w:val="0"/>
    <w:rPr>
      <w:b/>
      <w:color w:val="008000"/>
    </w:rPr>
  </w:style>
  <w:style w:type="character" w:customStyle="1" w:styleId="67">
    <w:name w:val="CommentTok"/>
    <w:basedOn w:val="51"/>
    <w:uiPriority w:val="0"/>
    <w:rPr>
      <w:i/>
      <w:color w:val="60A0B0"/>
    </w:rPr>
  </w:style>
  <w:style w:type="character" w:customStyle="1" w:styleId="68">
    <w:name w:val="DocumentationTok"/>
    <w:basedOn w:val="51"/>
    <w:uiPriority w:val="0"/>
    <w:rPr>
      <w:i/>
      <w:color w:val="BA2121"/>
    </w:rPr>
  </w:style>
  <w:style w:type="character" w:customStyle="1" w:styleId="69">
    <w:name w:val="AnnotationTok"/>
    <w:basedOn w:val="51"/>
    <w:uiPriority w:val="0"/>
    <w:rPr>
      <w:b/>
      <w:i/>
      <w:color w:val="60A0B0"/>
    </w:rPr>
  </w:style>
  <w:style w:type="character" w:customStyle="1" w:styleId="70">
    <w:name w:val="CommentVarTok"/>
    <w:basedOn w:val="51"/>
    <w:uiPriority w:val="0"/>
    <w:rPr>
      <w:b/>
      <w:i/>
      <w:color w:val="60A0B0"/>
    </w:rPr>
  </w:style>
  <w:style w:type="character" w:customStyle="1" w:styleId="71">
    <w:name w:val="OtherTok"/>
    <w:basedOn w:val="51"/>
    <w:uiPriority w:val="0"/>
    <w:rPr>
      <w:color w:val="007020"/>
    </w:rPr>
  </w:style>
  <w:style w:type="character" w:customStyle="1" w:styleId="72">
    <w:name w:val="FunctionTok"/>
    <w:basedOn w:val="51"/>
    <w:uiPriority w:val="0"/>
    <w:rPr>
      <w:color w:val="06287E"/>
    </w:rPr>
  </w:style>
  <w:style w:type="character" w:customStyle="1" w:styleId="73">
    <w:name w:val="VariableTok"/>
    <w:basedOn w:val="51"/>
    <w:uiPriority w:val="0"/>
    <w:rPr>
      <w:color w:val="19177C"/>
    </w:rPr>
  </w:style>
  <w:style w:type="character" w:customStyle="1" w:styleId="74">
    <w:name w:val="ControlFlowTok"/>
    <w:basedOn w:val="51"/>
    <w:uiPriority w:val="0"/>
    <w:rPr>
      <w:b/>
      <w:color w:val="007020"/>
    </w:rPr>
  </w:style>
  <w:style w:type="character" w:customStyle="1" w:styleId="75">
    <w:name w:val="OperatorTok"/>
    <w:basedOn w:val="51"/>
    <w:uiPriority w:val="0"/>
    <w:rPr>
      <w:color w:val="666666"/>
    </w:rPr>
  </w:style>
  <w:style w:type="character" w:customStyle="1" w:styleId="76">
    <w:name w:val="BuiltInTok"/>
    <w:basedOn w:val="51"/>
    <w:uiPriority w:val="0"/>
    <w:rPr>
      <w:color w:val="008000"/>
    </w:rPr>
  </w:style>
  <w:style w:type="character" w:customStyle="1" w:styleId="77">
    <w:name w:val="ExtensionTok"/>
    <w:basedOn w:val="51"/>
    <w:uiPriority w:val="0"/>
  </w:style>
  <w:style w:type="character" w:customStyle="1" w:styleId="78">
    <w:name w:val="PreprocessorTok"/>
    <w:basedOn w:val="51"/>
    <w:uiPriority w:val="0"/>
    <w:rPr>
      <w:color w:val="BC7A00"/>
    </w:rPr>
  </w:style>
  <w:style w:type="character" w:customStyle="1" w:styleId="79">
    <w:name w:val="AttributeTok"/>
    <w:basedOn w:val="51"/>
    <w:uiPriority w:val="0"/>
    <w:rPr>
      <w:color w:val="7D9029"/>
    </w:rPr>
  </w:style>
  <w:style w:type="character" w:customStyle="1" w:styleId="80">
    <w:name w:val="RegionMarkerTok"/>
    <w:basedOn w:val="51"/>
    <w:uiPriority w:val="0"/>
  </w:style>
  <w:style w:type="character" w:customStyle="1" w:styleId="81">
    <w:name w:val="InformationTok"/>
    <w:basedOn w:val="51"/>
    <w:uiPriority w:val="0"/>
    <w:rPr>
      <w:b/>
      <w:i/>
      <w:color w:val="60A0B0"/>
    </w:rPr>
  </w:style>
  <w:style w:type="character" w:customStyle="1" w:styleId="82">
    <w:name w:val="WarningTok"/>
    <w:basedOn w:val="51"/>
    <w:uiPriority w:val="0"/>
    <w:rPr>
      <w:b/>
      <w:i/>
      <w:color w:val="60A0B0"/>
    </w:rPr>
  </w:style>
  <w:style w:type="character" w:customStyle="1" w:styleId="83">
    <w:name w:val="AlertTok"/>
    <w:basedOn w:val="51"/>
    <w:uiPriority w:val="0"/>
    <w:rPr>
      <w:b/>
      <w:color w:val="FF0000"/>
    </w:rPr>
  </w:style>
  <w:style w:type="character" w:customStyle="1" w:styleId="84">
    <w:name w:val="ErrorTok"/>
    <w:basedOn w:val="51"/>
    <w:uiPriority w:val="0"/>
    <w:rPr>
      <w:b/>
      <w:color w:val="FF0000"/>
    </w:rPr>
  </w:style>
  <w:style w:type="character" w:customStyle="1" w:styleId="85">
    <w:name w:val="NormalTok"/>
    <w:basedOn w:val="5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83</Words>
  <Characters>475</Characters>
  <Lines>12</Lines>
  <Paragraphs>8</Paragraphs>
  <TotalTime>0</TotalTime>
  <ScaleCrop>false</ScaleCrop>
  <LinksUpToDate>false</LinksUpToDate>
  <CharactersWithSpaces>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2026-09-08T09:35:00Z</dcterms:created>
  <dc:creator>AI自强大叔</dc:creator>
  <cp:lastModifiedBy>AI自强大叔</cp:lastModifiedBy>
  <dcterms:modified xsi:type="dcterms:W3CDTF">2026-09-08T09:36:03Z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目录</vt:lpwstr>
  </property>
  <property fmtid="{D5CDD505-2E9C-101B-9397-08002B2CF9AE}" pid="3" name="KSOProductBuildVer">
    <vt:lpwstr>2052-12.1.0.28505</vt:lpwstr>
  </property>
  <property fmtid="{D5CDD505-2E9C-101B-9397-08002B2CF9AE}" pid="4" name="ICV">
    <vt:lpwstr>DA60171385494B76BB54B69718371918_12</vt:lpwstr>
  </property>
</Properties>
</file>