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FE8BD">
      <w:pPr>
        <w:pStyle w:val="15"/>
      </w:pPr>
      <w:bookmarkStart w:id="50" w:name="_GoBack"/>
      <w:bookmarkEnd w:id="50"/>
      <w:r>
        <w:rPr>
          <w:rFonts w:hint="eastAsia"/>
        </w:rPr>
        <w:t>更新内容_v1.20241229</w:t>
      </w:r>
    </w:p>
    <w:sdt>
      <w:sdtPr>
        <w:id w:val="147480610"/>
        <w:docPartObj>
          <w:docPartGallery w:val="Table of Contents"/>
          <w:docPartUnique/>
        </w:docPartObj>
      </w:sdtPr>
      <w:sdtContent>
        <w:p w14:paraId="453C37AE">
          <w:pPr>
            <w:pStyle w:val="52"/>
          </w:pPr>
          <w:r>
            <w:rPr>
              <w:rFonts w:hint="eastAsia"/>
            </w:rPr>
            <w:t>目录</w:t>
          </w:r>
        </w:p>
        <w:p w14:paraId="133EEAAB">
          <w:pPr>
            <w:pStyle w:val="18"/>
            <w:tabs>
              <w:tab w:val="right" w:leader="dot" w:pos="8640"/>
            </w:tabs>
          </w:pPr>
          <w:r>
            <w:fldChar w:fldCharType="begin"/>
          </w:r>
          <w:r>
            <w:instrText xml:space="preserve">TOC \o "1-3" \h \z \u</w:instrText>
          </w:r>
          <w:r>
            <w:fldChar w:fldCharType="separate"/>
          </w:r>
          <w:r>
            <w:fldChar w:fldCharType="begin"/>
          </w:r>
          <w:r>
            <w:instrText xml:space="preserve"> HYPERLINK \l _Toc6501 </w:instrText>
          </w:r>
          <w:r>
            <w:fldChar w:fldCharType="separate"/>
          </w:r>
          <w:r>
            <w:rPr>
              <w:rFonts w:hint="eastAsia"/>
            </w:rPr>
            <w:t>流程待办任务通知</w:t>
          </w:r>
          <w:r>
            <w:tab/>
          </w:r>
          <w:r>
            <w:fldChar w:fldCharType="begin"/>
          </w:r>
          <w:r>
            <w:instrText xml:space="preserve"> PAGEREF _Toc6501 \h </w:instrText>
          </w:r>
          <w:r>
            <w:fldChar w:fldCharType="separate"/>
          </w:r>
          <w:r>
            <w:t>2</w:t>
          </w:r>
          <w:r>
            <w:fldChar w:fldCharType="end"/>
          </w:r>
          <w:r>
            <w:fldChar w:fldCharType="end"/>
          </w:r>
        </w:p>
        <w:p w14:paraId="648B90E9">
          <w:pPr>
            <w:pStyle w:val="18"/>
            <w:tabs>
              <w:tab w:val="right" w:leader="dot" w:pos="8640"/>
            </w:tabs>
          </w:pPr>
          <w:r>
            <w:fldChar w:fldCharType="begin"/>
          </w:r>
          <w:r>
            <w:instrText xml:space="preserve"> HYPERLINK \l _Toc31221 </w:instrText>
          </w:r>
          <w:r>
            <w:fldChar w:fldCharType="separate"/>
          </w:r>
          <w:r>
            <w:rPr>
              <w:rFonts w:hint="eastAsia"/>
            </w:rPr>
            <w:t>流程节点权限支持员工</w:t>
          </w:r>
          <w:r>
            <w:tab/>
          </w:r>
          <w:r>
            <w:fldChar w:fldCharType="begin"/>
          </w:r>
          <w:r>
            <w:instrText xml:space="preserve"> PAGEREF _Toc31221 \h </w:instrText>
          </w:r>
          <w:r>
            <w:fldChar w:fldCharType="separate"/>
          </w:r>
          <w:r>
            <w:t>3</w:t>
          </w:r>
          <w:r>
            <w:fldChar w:fldCharType="end"/>
          </w:r>
          <w:r>
            <w:fldChar w:fldCharType="end"/>
          </w:r>
        </w:p>
        <w:p w14:paraId="1950D52F">
          <w:pPr>
            <w:pStyle w:val="18"/>
            <w:tabs>
              <w:tab w:val="right" w:leader="dot" w:pos="8640"/>
            </w:tabs>
          </w:pPr>
          <w:r>
            <w:fldChar w:fldCharType="begin"/>
          </w:r>
          <w:r>
            <w:instrText xml:space="preserve"> HYPERLINK \l _Toc13561 </w:instrText>
          </w:r>
          <w:r>
            <w:fldChar w:fldCharType="separate"/>
          </w:r>
          <w:r>
            <w:rPr>
              <w:rFonts w:hint="eastAsia"/>
            </w:rPr>
            <w:t>流程节点权限支持上级部门、表单中选择部门、提交时指定部门</w:t>
          </w:r>
          <w:r>
            <w:tab/>
          </w:r>
          <w:r>
            <w:fldChar w:fldCharType="begin"/>
          </w:r>
          <w:r>
            <w:instrText xml:space="preserve"> PAGEREF _Toc13561 \h </w:instrText>
          </w:r>
          <w:r>
            <w:fldChar w:fldCharType="separate"/>
          </w:r>
          <w:r>
            <w:t>4</w:t>
          </w:r>
          <w:r>
            <w:fldChar w:fldCharType="end"/>
          </w:r>
          <w:r>
            <w:fldChar w:fldCharType="end"/>
          </w:r>
        </w:p>
        <w:p w14:paraId="283E07A6">
          <w:pPr>
            <w:pStyle w:val="18"/>
            <w:tabs>
              <w:tab w:val="right" w:leader="dot" w:pos="8640"/>
            </w:tabs>
          </w:pPr>
          <w:r>
            <w:fldChar w:fldCharType="begin"/>
          </w:r>
          <w:r>
            <w:instrText xml:space="preserve"> HYPERLINK \l _Toc32518 </w:instrText>
          </w:r>
          <w:r>
            <w:fldChar w:fldCharType="separate"/>
          </w:r>
          <w:r>
            <w:rPr>
              <w:rFonts w:hint="eastAsia"/>
            </w:rPr>
            <w:t>流程驳回后支持审批人不变</w:t>
          </w:r>
          <w:r>
            <w:tab/>
          </w:r>
          <w:r>
            <w:fldChar w:fldCharType="begin"/>
          </w:r>
          <w:r>
            <w:instrText xml:space="preserve"> PAGEREF _Toc32518 \h </w:instrText>
          </w:r>
          <w:r>
            <w:fldChar w:fldCharType="separate"/>
          </w:r>
          <w:r>
            <w:t>5</w:t>
          </w:r>
          <w:r>
            <w:fldChar w:fldCharType="end"/>
          </w:r>
          <w:r>
            <w:fldChar w:fldCharType="end"/>
          </w:r>
        </w:p>
        <w:p w14:paraId="7A3FEBDD">
          <w:pPr>
            <w:pStyle w:val="18"/>
            <w:tabs>
              <w:tab w:val="right" w:leader="dot" w:pos="8640"/>
            </w:tabs>
          </w:pPr>
          <w:r>
            <w:fldChar w:fldCharType="begin"/>
          </w:r>
          <w:r>
            <w:instrText xml:space="preserve"> HYPERLINK \l _Toc15366 </w:instrText>
          </w:r>
          <w:r>
            <w:fldChar w:fldCharType="separate"/>
          </w:r>
          <w:r>
            <w:rPr>
              <w:rFonts w:hint="eastAsia"/>
            </w:rPr>
            <w:t>支持客户经理权限</w:t>
          </w:r>
          <w:r>
            <w:tab/>
          </w:r>
          <w:r>
            <w:fldChar w:fldCharType="begin"/>
          </w:r>
          <w:r>
            <w:instrText xml:space="preserve"> PAGEREF _Toc15366 \h </w:instrText>
          </w:r>
          <w:r>
            <w:fldChar w:fldCharType="separate"/>
          </w:r>
          <w:r>
            <w:t>5</w:t>
          </w:r>
          <w:r>
            <w:fldChar w:fldCharType="end"/>
          </w:r>
          <w:r>
            <w:fldChar w:fldCharType="end"/>
          </w:r>
        </w:p>
        <w:p w14:paraId="66BE3759">
          <w:pPr>
            <w:pStyle w:val="18"/>
            <w:tabs>
              <w:tab w:val="right" w:leader="dot" w:pos="8640"/>
            </w:tabs>
          </w:pPr>
          <w:r>
            <w:fldChar w:fldCharType="begin"/>
          </w:r>
          <w:r>
            <w:instrText xml:space="preserve"> HYPERLINK \l _Toc20032 </w:instrText>
          </w:r>
          <w:r>
            <w:fldChar w:fldCharType="separate"/>
          </w:r>
          <w:r>
            <w:rPr>
              <w:rFonts w:hint="eastAsia"/>
            </w:rPr>
            <w:t>流程判断下一节点是否有审批人</w:t>
          </w:r>
          <w:r>
            <w:tab/>
          </w:r>
          <w:r>
            <w:fldChar w:fldCharType="begin"/>
          </w:r>
          <w:r>
            <w:instrText xml:space="preserve"> PAGEREF _Toc20032 \h </w:instrText>
          </w:r>
          <w:r>
            <w:fldChar w:fldCharType="separate"/>
          </w:r>
          <w:r>
            <w:t>7</w:t>
          </w:r>
          <w:r>
            <w:fldChar w:fldCharType="end"/>
          </w:r>
          <w:r>
            <w:fldChar w:fldCharType="end"/>
          </w:r>
        </w:p>
        <w:p w14:paraId="69CDB7A2">
          <w:pPr>
            <w:pStyle w:val="18"/>
            <w:tabs>
              <w:tab w:val="right" w:leader="dot" w:pos="8640"/>
            </w:tabs>
          </w:pPr>
          <w:r>
            <w:fldChar w:fldCharType="begin"/>
          </w:r>
          <w:r>
            <w:instrText xml:space="preserve"> HYPERLINK \l _Toc11215 </w:instrText>
          </w:r>
          <w:r>
            <w:fldChar w:fldCharType="separate"/>
          </w:r>
          <w:r>
            <w:rPr>
              <w:rFonts w:hint="eastAsia"/>
            </w:rPr>
            <w:t>云平台影像同步接口调整</w:t>
          </w:r>
          <w:r>
            <w:tab/>
          </w:r>
          <w:r>
            <w:fldChar w:fldCharType="begin"/>
          </w:r>
          <w:r>
            <w:instrText xml:space="preserve"> PAGEREF _Toc11215 \h </w:instrText>
          </w:r>
          <w:r>
            <w:fldChar w:fldCharType="separate"/>
          </w:r>
          <w:r>
            <w:t>7</w:t>
          </w:r>
          <w:r>
            <w:fldChar w:fldCharType="end"/>
          </w:r>
          <w:r>
            <w:fldChar w:fldCharType="end"/>
          </w:r>
        </w:p>
        <w:p w14:paraId="4133341E">
          <w:pPr>
            <w:pStyle w:val="18"/>
            <w:tabs>
              <w:tab w:val="right" w:leader="dot" w:pos="8640"/>
            </w:tabs>
          </w:pPr>
          <w:r>
            <w:fldChar w:fldCharType="begin"/>
          </w:r>
          <w:r>
            <w:instrText xml:space="preserve"> HYPERLINK \l _Toc18072 </w:instrText>
          </w:r>
          <w:r>
            <w:fldChar w:fldCharType="separate"/>
          </w:r>
          <w:r>
            <w:rPr>
              <w:rFonts w:hint="eastAsia"/>
            </w:rPr>
            <w:t>流程支持跨部门发起</w:t>
          </w:r>
          <w:r>
            <w:tab/>
          </w:r>
          <w:r>
            <w:fldChar w:fldCharType="begin"/>
          </w:r>
          <w:r>
            <w:instrText xml:space="preserve"> PAGEREF _Toc18072 \h </w:instrText>
          </w:r>
          <w:r>
            <w:fldChar w:fldCharType="separate"/>
          </w:r>
          <w:r>
            <w:t>7</w:t>
          </w:r>
          <w:r>
            <w:fldChar w:fldCharType="end"/>
          </w:r>
          <w:r>
            <w:fldChar w:fldCharType="end"/>
          </w:r>
        </w:p>
        <w:p w14:paraId="21369F0C">
          <w:pPr>
            <w:pStyle w:val="18"/>
            <w:tabs>
              <w:tab w:val="right" w:leader="dot" w:pos="8640"/>
            </w:tabs>
          </w:pPr>
          <w:r>
            <w:fldChar w:fldCharType="begin"/>
          </w:r>
          <w:r>
            <w:instrText xml:space="preserve"> HYPERLINK \l _Toc19278 </w:instrText>
          </w:r>
          <w:r>
            <w:fldChar w:fldCharType="separate"/>
          </w:r>
          <w:r>
            <w:rPr>
              <w:rFonts w:hint="eastAsia"/>
            </w:rPr>
            <w:t>优先显示精确匹配的账号</w:t>
          </w:r>
          <w:r>
            <w:tab/>
          </w:r>
          <w:r>
            <w:fldChar w:fldCharType="begin"/>
          </w:r>
          <w:r>
            <w:instrText xml:space="preserve"> PAGEREF _Toc19278 \h </w:instrText>
          </w:r>
          <w:r>
            <w:fldChar w:fldCharType="separate"/>
          </w:r>
          <w:r>
            <w:t>8</w:t>
          </w:r>
          <w:r>
            <w:fldChar w:fldCharType="end"/>
          </w:r>
          <w:r>
            <w:fldChar w:fldCharType="end"/>
          </w:r>
        </w:p>
        <w:p w14:paraId="08D70416">
          <w:pPr>
            <w:pStyle w:val="18"/>
            <w:tabs>
              <w:tab w:val="right" w:leader="dot" w:pos="8640"/>
            </w:tabs>
          </w:pPr>
          <w:r>
            <w:fldChar w:fldCharType="begin"/>
          </w:r>
          <w:r>
            <w:instrText xml:space="preserve"> HYPERLINK \l _Toc12202 </w:instrText>
          </w:r>
          <w:r>
            <w:fldChar w:fldCharType="separate"/>
          </w:r>
          <w:r>
            <w:rPr>
              <w:rFonts w:hint="eastAsia"/>
            </w:rPr>
            <w:t>流程接龙功能允许指定多个流程</w:t>
          </w:r>
          <w:r>
            <w:tab/>
          </w:r>
          <w:r>
            <w:fldChar w:fldCharType="begin"/>
          </w:r>
          <w:r>
            <w:instrText xml:space="preserve"> PAGEREF _Toc12202 \h </w:instrText>
          </w:r>
          <w:r>
            <w:fldChar w:fldCharType="separate"/>
          </w:r>
          <w:r>
            <w:t>8</w:t>
          </w:r>
          <w:r>
            <w:fldChar w:fldCharType="end"/>
          </w:r>
          <w:r>
            <w:fldChar w:fldCharType="end"/>
          </w:r>
        </w:p>
        <w:p w14:paraId="03416A62">
          <w:pPr>
            <w:pStyle w:val="18"/>
            <w:tabs>
              <w:tab w:val="right" w:leader="dot" w:pos="8640"/>
            </w:tabs>
          </w:pPr>
          <w:r>
            <w:fldChar w:fldCharType="begin"/>
          </w:r>
          <w:r>
            <w:instrText xml:space="preserve"> HYPERLINK \l _Toc5645 </w:instrText>
          </w:r>
          <w:r>
            <w:fldChar w:fldCharType="separate"/>
          </w:r>
          <w:r>
            <w:rPr>
              <w:rFonts w:hint="eastAsia"/>
            </w:rPr>
            <w:t>流程支持调用掌厅的协议签署</w:t>
          </w:r>
          <w:r>
            <w:tab/>
          </w:r>
          <w:r>
            <w:fldChar w:fldCharType="begin"/>
          </w:r>
          <w:r>
            <w:instrText xml:space="preserve"> PAGEREF _Toc5645 \h </w:instrText>
          </w:r>
          <w:r>
            <w:fldChar w:fldCharType="separate"/>
          </w:r>
          <w:r>
            <w:t>9</w:t>
          </w:r>
          <w:r>
            <w:fldChar w:fldCharType="end"/>
          </w:r>
          <w:r>
            <w:fldChar w:fldCharType="end"/>
          </w:r>
        </w:p>
        <w:p w14:paraId="768ED2E8">
          <w:pPr>
            <w:pStyle w:val="18"/>
            <w:tabs>
              <w:tab w:val="right" w:leader="dot" w:pos="8640"/>
            </w:tabs>
          </w:pPr>
          <w:r>
            <w:fldChar w:fldCharType="begin"/>
          </w:r>
          <w:r>
            <w:instrText xml:space="preserve"> HYPERLINK \l _Toc10160 </w:instrText>
          </w:r>
          <w:r>
            <w:fldChar w:fldCharType="separate"/>
          </w:r>
          <w:r>
            <w:rPr>
              <w:rFonts w:hint="eastAsia"/>
            </w:rPr>
            <w:t>流程支持证通的证照核验</w:t>
          </w:r>
          <w:r>
            <w:tab/>
          </w:r>
          <w:r>
            <w:fldChar w:fldCharType="begin"/>
          </w:r>
          <w:r>
            <w:instrText xml:space="preserve"> PAGEREF _Toc10160 \h </w:instrText>
          </w:r>
          <w:r>
            <w:fldChar w:fldCharType="separate"/>
          </w:r>
          <w:r>
            <w:t>9</w:t>
          </w:r>
          <w:r>
            <w:fldChar w:fldCharType="end"/>
          </w:r>
          <w:r>
            <w:fldChar w:fldCharType="end"/>
          </w:r>
        </w:p>
        <w:p w14:paraId="7FFD0C11">
          <w:pPr>
            <w:pStyle w:val="18"/>
            <w:tabs>
              <w:tab w:val="right" w:leader="dot" w:pos="8640"/>
            </w:tabs>
          </w:pPr>
          <w:r>
            <w:fldChar w:fldCharType="begin"/>
          </w:r>
          <w:r>
            <w:instrText xml:space="preserve"> HYPERLINK \l _Toc26319 </w:instrText>
          </w:r>
          <w:r>
            <w:fldChar w:fldCharType="separate"/>
          </w:r>
          <w:r>
            <w:rPr>
              <w:rFonts w:hint="eastAsia"/>
            </w:rPr>
            <w:t>支持自然人高龄客户验证</w:t>
          </w:r>
          <w:r>
            <w:tab/>
          </w:r>
          <w:r>
            <w:fldChar w:fldCharType="begin"/>
          </w:r>
          <w:r>
            <w:instrText xml:space="preserve"> PAGEREF _Toc26319 \h </w:instrText>
          </w:r>
          <w:r>
            <w:fldChar w:fldCharType="separate"/>
          </w:r>
          <w:r>
            <w:t>10</w:t>
          </w:r>
          <w:r>
            <w:fldChar w:fldCharType="end"/>
          </w:r>
          <w:r>
            <w:fldChar w:fldCharType="end"/>
          </w:r>
        </w:p>
        <w:p w14:paraId="52AB24B4">
          <w:pPr>
            <w:pStyle w:val="18"/>
            <w:tabs>
              <w:tab w:val="right" w:leader="dot" w:pos="8640"/>
            </w:tabs>
          </w:pPr>
          <w:r>
            <w:fldChar w:fldCharType="begin"/>
          </w:r>
          <w:r>
            <w:instrText xml:space="preserve"> HYPERLINK \l _Toc17935 </w:instrText>
          </w:r>
          <w:r>
            <w:fldChar w:fldCharType="separate"/>
          </w:r>
          <w:r>
            <w:rPr>
              <w:rFonts w:hint="eastAsia"/>
            </w:rPr>
            <w:t>发起流程时选择客户账号的方式</w:t>
          </w:r>
          <w:r>
            <w:tab/>
          </w:r>
          <w:r>
            <w:fldChar w:fldCharType="begin"/>
          </w:r>
          <w:r>
            <w:instrText xml:space="preserve"> PAGEREF _Toc17935 \h </w:instrText>
          </w:r>
          <w:r>
            <w:fldChar w:fldCharType="separate"/>
          </w:r>
          <w:r>
            <w:t>12</w:t>
          </w:r>
          <w:r>
            <w:fldChar w:fldCharType="end"/>
          </w:r>
          <w:r>
            <w:fldChar w:fldCharType="end"/>
          </w:r>
        </w:p>
        <w:p w14:paraId="550DF4C5">
          <w:pPr>
            <w:pStyle w:val="18"/>
            <w:tabs>
              <w:tab w:val="right" w:leader="dot" w:pos="8640"/>
            </w:tabs>
          </w:pPr>
          <w:r>
            <w:fldChar w:fldCharType="begin"/>
          </w:r>
          <w:r>
            <w:instrText xml:space="preserve"> HYPERLINK \l _Toc10343 </w:instrText>
          </w:r>
          <w:r>
            <w:fldChar w:fldCharType="separate"/>
          </w:r>
          <w:r>
            <w:rPr>
              <w:rFonts w:hint="eastAsia"/>
            </w:rPr>
            <w:t>流程查询权限增强</w:t>
          </w:r>
          <w:r>
            <w:tab/>
          </w:r>
          <w:r>
            <w:fldChar w:fldCharType="begin"/>
          </w:r>
          <w:r>
            <w:instrText xml:space="preserve"> PAGEREF _Toc10343 \h </w:instrText>
          </w:r>
          <w:r>
            <w:fldChar w:fldCharType="separate"/>
          </w:r>
          <w:r>
            <w:t>12</w:t>
          </w:r>
          <w:r>
            <w:fldChar w:fldCharType="end"/>
          </w:r>
          <w:r>
            <w:fldChar w:fldCharType="end"/>
          </w:r>
        </w:p>
        <w:p w14:paraId="53530341">
          <w:pPr>
            <w:pStyle w:val="18"/>
            <w:tabs>
              <w:tab w:val="right" w:leader="dot" w:pos="8640"/>
            </w:tabs>
          </w:pPr>
          <w:r>
            <w:fldChar w:fldCharType="begin"/>
          </w:r>
          <w:r>
            <w:instrText xml:space="preserve"> HYPERLINK \l _Toc16195 </w:instrText>
          </w:r>
          <w:r>
            <w:fldChar w:fldCharType="separate"/>
          </w:r>
          <w:r>
            <w:rPr>
              <w:rFonts w:hint="eastAsia"/>
            </w:rPr>
            <w:t>流程中账号信息增强</w:t>
          </w:r>
          <w:r>
            <w:tab/>
          </w:r>
          <w:r>
            <w:fldChar w:fldCharType="begin"/>
          </w:r>
          <w:r>
            <w:instrText xml:space="preserve"> PAGEREF _Toc16195 \h </w:instrText>
          </w:r>
          <w:r>
            <w:fldChar w:fldCharType="separate"/>
          </w:r>
          <w:r>
            <w:t>13</w:t>
          </w:r>
          <w:r>
            <w:fldChar w:fldCharType="end"/>
          </w:r>
          <w:r>
            <w:fldChar w:fldCharType="end"/>
          </w:r>
        </w:p>
        <w:p w14:paraId="0AF689A4">
          <w:pPr>
            <w:pStyle w:val="18"/>
            <w:tabs>
              <w:tab w:val="right" w:leader="dot" w:pos="8640"/>
            </w:tabs>
          </w:pPr>
          <w:r>
            <w:fldChar w:fldCharType="begin"/>
          </w:r>
          <w:r>
            <w:instrText xml:space="preserve"> HYPERLINK \l _Toc18039 </w:instrText>
          </w:r>
          <w:r>
            <w:fldChar w:fldCharType="separate"/>
          </w:r>
          <w:r>
            <w:rPr>
              <w:rFonts w:hint="eastAsia"/>
            </w:rPr>
            <w:t>流程表单拦截和验证</w:t>
          </w:r>
          <w:r>
            <w:tab/>
          </w:r>
          <w:r>
            <w:fldChar w:fldCharType="begin"/>
          </w:r>
          <w:r>
            <w:instrText xml:space="preserve"> PAGEREF _Toc18039 \h </w:instrText>
          </w:r>
          <w:r>
            <w:fldChar w:fldCharType="separate"/>
          </w:r>
          <w:r>
            <w:t>13</w:t>
          </w:r>
          <w:r>
            <w:fldChar w:fldCharType="end"/>
          </w:r>
          <w:r>
            <w:fldChar w:fldCharType="end"/>
          </w:r>
        </w:p>
        <w:p w14:paraId="24371791">
          <w:pPr>
            <w:pStyle w:val="18"/>
            <w:tabs>
              <w:tab w:val="right" w:leader="dot" w:pos="8640"/>
            </w:tabs>
          </w:pPr>
          <w:r>
            <w:fldChar w:fldCharType="begin"/>
          </w:r>
          <w:r>
            <w:instrText xml:space="preserve"> HYPERLINK \l _Toc32051 </w:instrText>
          </w:r>
          <w:r>
            <w:fldChar w:fldCharType="separate"/>
          </w:r>
          <w:r>
            <w:rPr>
              <w:rFonts w:hint="eastAsia"/>
            </w:rPr>
            <w:t>表单控件优化</w:t>
          </w:r>
          <w:r>
            <w:tab/>
          </w:r>
          <w:r>
            <w:fldChar w:fldCharType="begin"/>
          </w:r>
          <w:r>
            <w:instrText xml:space="preserve"> PAGEREF _Toc32051 \h </w:instrText>
          </w:r>
          <w:r>
            <w:fldChar w:fldCharType="separate"/>
          </w:r>
          <w:r>
            <w:t>14</w:t>
          </w:r>
          <w:r>
            <w:fldChar w:fldCharType="end"/>
          </w:r>
          <w:r>
            <w:fldChar w:fldCharType="end"/>
          </w:r>
        </w:p>
        <w:p w14:paraId="21D9151A">
          <w:pPr>
            <w:pStyle w:val="18"/>
            <w:tabs>
              <w:tab w:val="right" w:leader="dot" w:pos="8640"/>
            </w:tabs>
          </w:pPr>
          <w:r>
            <w:fldChar w:fldCharType="begin"/>
          </w:r>
          <w:r>
            <w:instrText xml:space="preserve"> HYPERLINK \l _Toc9449 </w:instrText>
          </w:r>
          <w:r>
            <w:fldChar w:fldCharType="separate"/>
          </w:r>
          <w:r>
            <w:rPr>
              <w:rFonts w:hint="eastAsia"/>
            </w:rPr>
            <w:t>合同模块相关</w:t>
          </w:r>
          <w:r>
            <w:tab/>
          </w:r>
          <w:r>
            <w:fldChar w:fldCharType="begin"/>
          </w:r>
          <w:r>
            <w:instrText xml:space="preserve"> PAGEREF _Toc9449 \h </w:instrText>
          </w:r>
          <w:r>
            <w:fldChar w:fldCharType="separate"/>
          </w:r>
          <w:r>
            <w:t>17</w:t>
          </w:r>
          <w:r>
            <w:fldChar w:fldCharType="end"/>
          </w:r>
          <w:r>
            <w:fldChar w:fldCharType="end"/>
          </w:r>
        </w:p>
        <w:p w14:paraId="28D377F6">
          <w:pPr>
            <w:pStyle w:val="18"/>
            <w:tabs>
              <w:tab w:val="right" w:leader="dot" w:pos="8640"/>
            </w:tabs>
          </w:pPr>
          <w:r>
            <w:fldChar w:fldCharType="begin"/>
          </w:r>
          <w:r>
            <w:instrText xml:space="preserve"> HYPERLINK \l _Toc30523 </w:instrText>
          </w:r>
          <w:r>
            <w:fldChar w:fldCharType="separate"/>
          </w:r>
          <w:r>
            <w:rPr>
              <w:rFonts w:hint="eastAsia"/>
            </w:rPr>
            <w:t>系统对接相关</w:t>
          </w:r>
          <w:r>
            <w:tab/>
          </w:r>
          <w:r>
            <w:fldChar w:fldCharType="begin"/>
          </w:r>
          <w:r>
            <w:instrText xml:space="preserve"> PAGEREF _Toc30523 \h </w:instrText>
          </w:r>
          <w:r>
            <w:fldChar w:fldCharType="separate"/>
          </w:r>
          <w:r>
            <w:t>19</w:t>
          </w:r>
          <w:r>
            <w:fldChar w:fldCharType="end"/>
          </w:r>
          <w:r>
            <w:fldChar w:fldCharType="end"/>
          </w:r>
        </w:p>
        <w:p w14:paraId="153CBD54">
          <w:pPr>
            <w:pStyle w:val="18"/>
            <w:tabs>
              <w:tab w:val="right" w:leader="dot" w:pos="8640"/>
            </w:tabs>
          </w:pPr>
          <w:r>
            <w:fldChar w:fldCharType="begin"/>
          </w:r>
          <w:r>
            <w:instrText xml:space="preserve"> HYPERLINK \l _Toc23642 </w:instrText>
          </w:r>
          <w:r>
            <w:fldChar w:fldCharType="separate"/>
          </w:r>
          <w:r>
            <w:rPr>
              <w:rFonts w:hint="eastAsia"/>
            </w:rPr>
            <w:t>可配置页面的查询条件和结果表格</w:t>
          </w:r>
          <w:r>
            <w:tab/>
          </w:r>
          <w:r>
            <w:fldChar w:fldCharType="begin"/>
          </w:r>
          <w:r>
            <w:instrText xml:space="preserve"> PAGEREF _Toc23642 \h </w:instrText>
          </w:r>
          <w:r>
            <w:fldChar w:fldCharType="separate"/>
          </w:r>
          <w:r>
            <w:t>20</w:t>
          </w:r>
          <w:r>
            <w:fldChar w:fldCharType="end"/>
          </w:r>
          <w:r>
            <w:fldChar w:fldCharType="end"/>
          </w:r>
        </w:p>
        <w:p w14:paraId="6664290A">
          <w:pPr>
            <w:pStyle w:val="18"/>
            <w:tabs>
              <w:tab w:val="right" w:leader="dot" w:pos="8640"/>
            </w:tabs>
          </w:pPr>
          <w:r>
            <w:fldChar w:fldCharType="begin"/>
          </w:r>
          <w:r>
            <w:instrText xml:space="preserve"> HYPERLINK \l _Toc12139 </w:instrText>
          </w:r>
          <w:r>
            <w:fldChar w:fldCharType="separate"/>
          </w:r>
          <w:r>
            <w:rPr>
              <w:rFonts w:hint="eastAsia"/>
            </w:rPr>
            <w:t>根据流程表单内文件合并生成PDF</w:t>
          </w:r>
          <w:r>
            <w:tab/>
          </w:r>
          <w:r>
            <w:fldChar w:fldCharType="begin"/>
          </w:r>
          <w:r>
            <w:instrText xml:space="preserve"> PAGEREF _Toc12139 \h </w:instrText>
          </w:r>
          <w:r>
            <w:fldChar w:fldCharType="separate"/>
          </w:r>
          <w:r>
            <w:t>21</w:t>
          </w:r>
          <w:r>
            <w:fldChar w:fldCharType="end"/>
          </w:r>
          <w:r>
            <w:fldChar w:fldCharType="end"/>
          </w:r>
        </w:p>
        <w:p w14:paraId="0593FF5B">
          <w:pPr>
            <w:pStyle w:val="18"/>
            <w:tabs>
              <w:tab w:val="right" w:leader="dot" w:pos="8640"/>
            </w:tabs>
          </w:pPr>
          <w:r>
            <w:fldChar w:fldCharType="begin"/>
          </w:r>
          <w:r>
            <w:instrText xml:space="preserve"> HYPERLINK \l _Toc10972 </w:instrText>
          </w:r>
          <w:r>
            <w:fldChar w:fldCharType="separate"/>
          </w:r>
          <w:r>
            <w:rPr>
              <w:rFonts w:hint="eastAsia"/>
            </w:rPr>
            <w:t>浮动手续费控件相关的多项改进</w:t>
          </w:r>
          <w:r>
            <w:tab/>
          </w:r>
          <w:r>
            <w:fldChar w:fldCharType="begin"/>
          </w:r>
          <w:r>
            <w:instrText xml:space="preserve"> PAGEREF _Toc10972 \h </w:instrText>
          </w:r>
          <w:r>
            <w:fldChar w:fldCharType="separate"/>
          </w:r>
          <w:r>
            <w:t>23</w:t>
          </w:r>
          <w:r>
            <w:fldChar w:fldCharType="end"/>
          </w:r>
          <w:r>
            <w:fldChar w:fldCharType="end"/>
          </w:r>
        </w:p>
        <w:p w14:paraId="4368B26A">
          <w:pPr>
            <w:pStyle w:val="18"/>
            <w:tabs>
              <w:tab w:val="right" w:leader="dot" w:pos="8640"/>
            </w:tabs>
          </w:pPr>
          <w:r>
            <w:fldChar w:fldCharType="begin"/>
          </w:r>
          <w:r>
            <w:instrText xml:space="preserve"> HYPERLINK \l _Toc9929 </w:instrText>
          </w:r>
          <w:r>
            <w:fldChar w:fldCharType="separate"/>
          </w:r>
          <w:r>
            <w:rPr>
              <w:rFonts w:hint="eastAsia"/>
            </w:rPr>
            <w:t>影像归档时也支持流程接龙</w:t>
          </w:r>
          <w:r>
            <w:tab/>
          </w:r>
          <w:r>
            <w:fldChar w:fldCharType="begin"/>
          </w:r>
          <w:r>
            <w:instrText xml:space="preserve"> PAGEREF _Toc9929 \h </w:instrText>
          </w:r>
          <w:r>
            <w:fldChar w:fldCharType="separate"/>
          </w:r>
          <w:r>
            <w:t>24</w:t>
          </w:r>
          <w:r>
            <w:fldChar w:fldCharType="end"/>
          </w:r>
          <w:r>
            <w:fldChar w:fldCharType="end"/>
          </w:r>
        </w:p>
        <w:p w14:paraId="709F683B">
          <w:pPr>
            <w:pStyle w:val="18"/>
            <w:tabs>
              <w:tab w:val="right" w:leader="dot" w:pos="8640"/>
            </w:tabs>
          </w:pPr>
          <w:r>
            <w:fldChar w:fldCharType="begin"/>
          </w:r>
          <w:r>
            <w:instrText xml:space="preserve"> HYPERLINK \l _Toc17329 </w:instrText>
          </w:r>
          <w:r>
            <w:fldChar w:fldCharType="separate"/>
          </w:r>
          <w:r>
            <w:rPr>
              <w:rFonts w:hint="eastAsia"/>
            </w:rPr>
            <w:t>移动端支持</w:t>
          </w:r>
          <w:r>
            <w:tab/>
          </w:r>
          <w:r>
            <w:fldChar w:fldCharType="begin"/>
          </w:r>
          <w:r>
            <w:instrText xml:space="preserve"> PAGEREF _Toc17329 \h </w:instrText>
          </w:r>
          <w:r>
            <w:fldChar w:fldCharType="separate"/>
          </w:r>
          <w:r>
            <w:t>25</w:t>
          </w:r>
          <w:r>
            <w:fldChar w:fldCharType="end"/>
          </w:r>
          <w:r>
            <w:fldChar w:fldCharType="end"/>
          </w:r>
        </w:p>
        <w:p w14:paraId="127031F1">
          <w:r>
            <w:fldChar w:fldCharType="end"/>
          </w:r>
        </w:p>
      </w:sdtContent>
    </w:sdt>
    <w:p w14:paraId="421909CF">
      <w:pPr>
        <w:pStyle w:val="4"/>
      </w:pPr>
      <w:bookmarkStart w:id="0" w:name="_Toc6501"/>
      <w:bookmarkStart w:id="1" w:name="流程待办任务通知"/>
      <w:r>
        <w:rPr>
          <w:rFonts w:hint="eastAsia"/>
        </w:rPr>
        <w:t>流程待办任务通知</w:t>
      </w:r>
      <w:bookmarkEnd w:id="0"/>
    </w:p>
    <w:p w14:paraId="3BF9B17D">
      <w:pPr>
        <w:pStyle w:val="24"/>
      </w:pPr>
      <w:r>
        <w:rPr>
          <w:rFonts w:hint="eastAsia"/>
          <w:b/>
          <w:bCs/>
        </w:rPr>
        <w:t>说明：</w:t>
      </w:r>
      <w:r>
        <w:t xml:space="preserve"> </w:t>
      </w:r>
      <w:r>
        <w:rPr>
          <w:rFonts w:hint="eastAsia"/>
        </w:rPr>
        <w:t>当收到新的待办时，可以以站内信的形式进行通知。它是出现在页面的右下角。</w:t>
      </w:r>
    </w:p>
    <w:p w14:paraId="03F37887">
      <w:pPr>
        <w:pStyle w:val="3"/>
      </w:pPr>
      <w:r>
        <w:drawing>
          <wp:inline distT="0" distB="0" distL="114300" distR="114300">
            <wp:extent cx="5334000" cy="2099310"/>
            <wp:effectExtent l="0" t="0" r="0" b="0"/>
            <wp:docPr id="2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descr="descript"/>
                    <pic:cNvPicPr>
                      <a:picLocks noChangeAspect="1" noChangeArrowheads="1"/>
                    </pic:cNvPicPr>
                  </pic:nvPicPr>
                  <pic:blipFill>
                    <a:blip r:embed="rId5"/>
                    <a:stretch>
                      <a:fillRect/>
                    </a:stretch>
                  </pic:blipFill>
                  <pic:spPr>
                    <a:xfrm>
                      <a:off x="0" y="0"/>
                      <a:ext cx="5334000" cy="2099862"/>
                    </a:xfrm>
                    <a:prstGeom prst="rect">
                      <a:avLst/>
                    </a:prstGeom>
                    <a:noFill/>
                    <a:ln w="9525">
                      <a:noFill/>
                    </a:ln>
                  </pic:spPr>
                </pic:pic>
              </a:graphicData>
            </a:graphic>
          </wp:inline>
        </w:drawing>
      </w:r>
    </w:p>
    <w:p w14:paraId="16105DEF">
      <w:pPr>
        <w:pStyle w:val="3"/>
      </w:pPr>
      <w:r>
        <w:rPr>
          <w:rFonts w:hint="eastAsia"/>
          <w:b/>
          <w:bCs/>
        </w:rPr>
        <w:t>开关：</w:t>
      </w:r>
      <w:r>
        <w:t xml:space="preserve"> </w:t>
      </w:r>
      <w:r>
        <w:rPr>
          <w:rFonts w:hint="eastAsia"/>
        </w:rPr>
        <w:t>流程的各个节点的通知都可单独设置。目前是默认不通知。开关分总开关和各个流程节点的开关。</w:t>
      </w:r>
    </w:p>
    <w:p w14:paraId="34556A0A">
      <w:pPr>
        <w:pStyle w:val="3"/>
      </w:pPr>
      <w:r>
        <w:drawing>
          <wp:inline distT="0" distB="0" distL="114300" distR="114300">
            <wp:extent cx="5334000" cy="2148205"/>
            <wp:effectExtent l="0" t="0" r="0" b="0"/>
            <wp:docPr id="2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descr="descript"/>
                    <pic:cNvPicPr>
                      <a:picLocks noChangeAspect="1" noChangeArrowheads="1"/>
                    </pic:cNvPicPr>
                  </pic:nvPicPr>
                  <pic:blipFill>
                    <a:blip r:embed="rId6"/>
                    <a:stretch>
                      <a:fillRect/>
                    </a:stretch>
                  </pic:blipFill>
                  <pic:spPr>
                    <a:xfrm>
                      <a:off x="0" y="0"/>
                      <a:ext cx="5334000" cy="2148237"/>
                    </a:xfrm>
                    <a:prstGeom prst="rect">
                      <a:avLst/>
                    </a:prstGeom>
                    <a:noFill/>
                    <a:ln w="9525">
                      <a:noFill/>
                    </a:ln>
                  </pic:spPr>
                </pic:pic>
              </a:graphicData>
            </a:graphic>
          </wp:inline>
        </w:drawing>
      </w:r>
    </w:p>
    <w:p w14:paraId="40DEE3E7">
      <w:pPr>
        <w:pStyle w:val="3"/>
      </w:pPr>
      <w:r>
        <w:drawing>
          <wp:inline distT="0" distB="0" distL="114300" distR="114300">
            <wp:extent cx="5334000" cy="2668905"/>
            <wp:effectExtent l="0" t="0" r="0" b="0"/>
            <wp:docPr id="2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descr="descript"/>
                    <pic:cNvPicPr>
                      <a:picLocks noChangeAspect="1" noChangeArrowheads="1"/>
                    </pic:cNvPicPr>
                  </pic:nvPicPr>
                  <pic:blipFill>
                    <a:blip r:embed="rId7"/>
                    <a:stretch>
                      <a:fillRect/>
                    </a:stretch>
                  </pic:blipFill>
                  <pic:spPr>
                    <a:xfrm>
                      <a:off x="0" y="0"/>
                      <a:ext cx="5334000" cy="2668917"/>
                    </a:xfrm>
                    <a:prstGeom prst="rect">
                      <a:avLst/>
                    </a:prstGeom>
                    <a:noFill/>
                    <a:ln w="9525">
                      <a:noFill/>
                    </a:ln>
                  </pic:spPr>
                </pic:pic>
              </a:graphicData>
            </a:graphic>
          </wp:inline>
        </w:drawing>
      </w:r>
    </w:p>
    <w:bookmarkEnd w:id="1"/>
    <w:p w14:paraId="5E311AFA">
      <w:pPr>
        <w:pStyle w:val="4"/>
      </w:pPr>
      <w:bookmarkStart w:id="2" w:name="_Toc31221"/>
      <w:bookmarkStart w:id="3" w:name="流程节点权限支持员工"/>
      <w:r>
        <w:rPr>
          <w:rFonts w:hint="eastAsia"/>
        </w:rPr>
        <w:t>流程节点权限支持员工</w:t>
      </w:r>
      <w:bookmarkEnd w:id="2"/>
    </w:p>
    <w:p w14:paraId="7FE623F9">
      <w:pPr>
        <w:pStyle w:val="24"/>
      </w:pPr>
      <w:r>
        <w:rPr>
          <w:rFonts w:hint="eastAsia"/>
        </w:rPr>
        <w:t>原来流程权限只允许设置到角色，现在可以具体到CRM账号了。</w:t>
      </w:r>
      <w:r>
        <w:rPr>
          <w:rFonts w:hint="eastAsia"/>
          <w:b/>
          <w:bCs/>
        </w:rPr>
        <w:t>注意</w:t>
      </w:r>
      <w:r>
        <w:rPr>
          <w:rFonts w:hint="eastAsia"/>
        </w:rPr>
        <w:t>，待办权限仍然是由【数据权限+角色权限】共同控制的，现在只是对角色权限做了扩充，指定角色与</w:t>
      </w:r>
      <w:r>
        <w:t xml:space="preserve"> </w:t>
      </w:r>
      <w:r>
        <w:rPr>
          <w:rFonts w:hint="eastAsia"/>
        </w:rPr>
        <w:t>指定CRM账号</w:t>
      </w:r>
      <w:r>
        <w:t xml:space="preserve"> </w:t>
      </w:r>
      <w:r>
        <w:rPr>
          <w:rFonts w:hint="eastAsia"/>
        </w:rPr>
        <w:t>是”或”的关系。</w:t>
      </w:r>
    </w:p>
    <w:p w14:paraId="6CBA2258">
      <w:pPr>
        <w:pStyle w:val="3"/>
      </w:pPr>
      <w:r>
        <w:rPr>
          <w:rFonts w:hint="eastAsia"/>
          <w:b/>
          <w:bCs/>
        </w:rPr>
        <w:t>待办权限</w:t>
      </w:r>
      <w:r>
        <w:t xml:space="preserve"> = </w:t>
      </w:r>
      <w:r>
        <w:rPr>
          <w:rFonts w:hint="eastAsia"/>
        </w:rPr>
        <w:t>数据权限</w:t>
      </w:r>
      <w:r>
        <w:t xml:space="preserve"> </w:t>
      </w:r>
      <w:r>
        <w:rPr>
          <w:rFonts w:hint="eastAsia"/>
          <w:b/>
          <w:bCs/>
        </w:rPr>
        <w:t>且</w:t>
      </w:r>
      <w:r>
        <w:t xml:space="preserve"> </w:t>
      </w:r>
      <w:r>
        <w:rPr>
          <w:b/>
          <w:bCs/>
        </w:rPr>
        <w:t>(</w:t>
      </w:r>
      <w:r>
        <w:rPr>
          <w:rFonts w:hint="eastAsia"/>
        </w:rPr>
        <w:t>角色权限</w:t>
      </w:r>
      <w:r>
        <w:t xml:space="preserve"> </w:t>
      </w:r>
      <w:r>
        <w:rPr>
          <w:rFonts w:hint="eastAsia"/>
          <w:b/>
          <w:bCs/>
        </w:rPr>
        <w:t>或</w:t>
      </w:r>
      <w:r>
        <w:t xml:space="preserve"> </w:t>
      </w:r>
      <w:r>
        <w:rPr>
          <w:rFonts w:hint="eastAsia"/>
        </w:rPr>
        <w:t>CRM账号权限</w:t>
      </w:r>
      <w:r>
        <w:rPr>
          <w:b/>
          <w:bCs/>
        </w:rPr>
        <w:t>)</w:t>
      </w:r>
      <w:r>
        <w:t>。</w:t>
      </w:r>
    </w:p>
    <w:p w14:paraId="375158AB">
      <w:pPr>
        <w:pStyle w:val="3"/>
      </w:pPr>
      <w:r>
        <w:drawing>
          <wp:inline distT="0" distB="0" distL="114300" distR="114300">
            <wp:extent cx="5334000" cy="1715135"/>
            <wp:effectExtent l="0" t="0" r="0" b="0"/>
            <wp:docPr id="3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descr="descript"/>
                    <pic:cNvPicPr>
                      <a:picLocks noChangeAspect="1" noChangeArrowheads="1"/>
                    </pic:cNvPicPr>
                  </pic:nvPicPr>
                  <pic:blipFill>
                    <a:blip r:embed="rId8"/>
                    <a:stretch>
                      <a:fillRect/>
                    </a:stretch>
                  </pic:blipFill>
                  <pic:spPr>
                    <a:xfrm>
                      <a:off x="0" y="0"/>
                      <a:ext cx="5334000" cy="1715352"/>
                    </a:xfrm>
                    <a:prstGeom prst="rect">
                      <a:avLst/>
                    </a:prstGeom>
                    <a:noFill/>
                    <a:ln w="9525">
                      <a:noFill/>
                    </a:ln>
                  </pic:spPr>
                </pic:pic>
              </a:graphicData>
            </a:graphic>
          </wp:inline>
        </w:drawing>
      </w:r>
    </w:p>
    <w:p w14:paraId="791A5F31">
      <w:pPr>
        <w:pStyle w:val="3"/>
      </w:pPr>
      <w:r>
        <w:drawing>
          <wp:inline distT="0" distB="0" distL="114300" distR="114300">
            <wp:extent cx="5334000" cy="2308225"/>
            <wp:effectExtent l="0" t="0" r="0" b="0"/>
            <wp:docPr id="3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descr="descript"/>
                    <pic:cNvPicPr>
                      <a:picLocks noChangeAspect="1" noChangeArrowheads="1"/>
                    </pic:cNvPicPr>
                  </pic:nvPicPr>
                  <pic:blipFill>
                    <a:blip r:embed="rId9"/>
                    <a:stretch>
                      <a:fillRect/>
                    </a:stretch>
                  </pic:blipFill>
                  <pic:spPr>
                    <a:xfrm>
                      <a:off x="0" y="0"/>
                      <a:ext cx="5334000" cy="2308503"/>
                    </a:xfrm>
                    <a:prstGeom prst="rect">
                      <a:avLst/>
                    </a:prstGeom>
                    <a:noFill/>
                    <a:ln w="9525">
                      <a:noFill/>
                    </a:ln>
                  </pic:spPr>
                </pic:pic>
              </a:graphicData>
            </a:graphic>
          </wp:inline>
        </w:drawing>
      </w:r>
    </w:p>
    <w:bookmarkEnd w:id="3"/>
    <w:p w14:paraId="09C919DC">
      <w:pPr>
        <w:pStyle w:val="4"/>
      </w:pPr>
      <w:bookmarkStart w:id="4" w:name="_Toc13561"/>
      <w:bookmarkStart w:id="5" w:name="流程节点权限支持上级部门表单中选择部门提交时指定部门"/>
      <w:r>
        <w:rPr>
          <w:rFonts w:hint="eastAsia"/>
        </w:rPr>
        <w:t>流程节点权限支持上级部门、表单中选择部门、提交时指定部门</w:t>
      </w:r>
      <w:bookmarkEnd w:id="4"/>
    </w:p>
    <w:p w14:paraId="2894D51B">
      <w:pPr>
        <w:pStyle w:val="24"/>
      </w:pPr>
      <w:r>
        <w:rPr>
          <w:rFonts w:hint="eastAsia"/>
          <w:b/>
          <w:bCs/>
        </w:rPr>
        <w:t>说明：</w:t>
      </w:r>
    </w:p>
    <w:p w14:paraId="2C104088">
      <w:pPr>
        <w:numPr>
          <w:ilvl w:val="0"/>
          <w:numId w:val="1"/>
        </w:numPr>
      </w:pPr>
      <w:r>
        <w:rPr>
          <w:rFonts w:hint="eastAsia"/>
        </w:rPr>
        <w:t>自动使用流程主体的部门：流程默认的部门权限，即账号所属部门和上级部门有审批权限；</w:t>
      </w:r>
    </w:p>
    <w:p w14:paraId="3CC5A17A">
      <w:pPr>
        <w:numPr>
          <w:ilvl w:val="0"/>
          <w:numId w:val="1"/>
        </w:numPr>
      </w:pPr>
      <w:r>
        <w:rPr>
          <w:rFonts w:hint="eastAsia"/>
        </w:rPr>
        <w:t>手动选择部门：待办任务提交时页面会弹出窗口，需要指定下一节点任务的审批部门；</w:t>
      </w:r>
    </w:p>
    <w:p w14:paraId="04AA895C">
      <w:pPr>
        <w:numPr>
          <w:ilvl w:val="0"/>
          <w:numId w:val="1"/>
        </w:numPr>
      </w:pPr>
      <w:r>
        <w:rPr>
          <w:rFonts w:hint="eastAsia"/>
        </w:rPr>
        <w:t>流程主体上级部门：自动使用流程主体的上级部门，上级部门可在【系统管理】-&gt;【流程上级部门设置】页面中查看和配置；</w:t>
      </w:r>
    </w:p>
    <w:p w14:paraId="16958024">
      <w:pPr>
        <w:numPr>
          <w:ilvl w:val="0"/>
          <w:numId w:val="1"/>
        </w:numPr>
      </w:pPr>
      <w:r>
        <w:rPr>
          <w:rFonts w:hint="eastAsia"/>
        </w:rPr>
        <w:t>通过表单内容决定：会自动在流程的业务表单内增加一个部门选择控件，用来指定下一节点任务的审批部门。</w:t>
      </w:r>
    </w:p>
    <w:p w14:paraId="14F108A5">
      <w:pPr>
        <w:pStyle w:val="24"/>
      </w:pPr>
      <w:r>
        <w:drawing>
          <wp:inline distT="0" distB="0" distL="114300" distR="114300">
            <wp:extent cx="5334000" cy="1873885"/>
            <wp:effectExtent l="0" t="0" r="0" b="0"/>
            <wp:docPr id="3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descr="descript"/>
                    <pic:cNvPicPr>
                      <a:picLocks noChangeAspect="1" noChangeArrowheads="1"/>
                    </pic:cNvPicPr>
                  </pic:nvPicPr>
                  <pic:blipFill>
                    <a:blip r:embed="rId10"/>
                    <a:stretch>
                      <a:fillRect/>
                    </a:stretch>
                  </pic:blipFill>
                  <pic:spPr>
                    <a:xfrm>
                      <a:off x="0" y="0"/>
                      <a:ext cx="5334000" cy="1874108"/>
                    </a:xfrm>
                    <a:prstGeom prst="rect">
                      <a:avLst/>
                    </a:prstGeom>
                    <a:noFill/>
                    <a:ln w="9525">
                      <a:noFill/>
                    </a:ln>
                  </pic:spPr>
                </pic:pic>
              </a:graphicData>
            </a:graphic>
          </wp:inline>
        </w:drawing>
      </w:r>
    </w:p>
    <w:p w14:paraId="2747A7D2">
      <w:pPr>
        <w:pStyle w:val="3"/>
      </w:pPr>
      <w:r>
        <w:rPr>
          <w:rFonts w:hint="eastAsia"/>
          <w:b/>
          <w:bCs/>
        </w:rPr>
        <w:t>开关：</w:t>
      </w:r>
    </w:p>
    <w:p w14:paraId="2702B831">
      <w:pPr>
        <w:pStyle w:val="3"/>
      </w:pPr>
      <w:r>
        <w:drawing>
          <wp:inline distT="0" distB="0" distL="114300" distR="114300">
            <wp:extent cx="5334000" cy="1690370"/>
            <wp:effectExtent l="0" t="0" r="0" b="0"/>
            <wp:docPr id="4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descr="descript"/>
                    <pic:cNvPicPr>
                      <a:picLocks noChangeAspect="1" noChangeArrowheads="1"/>
                    </pic:cNvPicPr>
                  </pic:nvPicPr>
                  <pic:blipFill>
                    <a:blip r:embed="rId11"/>
                    <a:stretch>
                      <a:fillRect/>
                    </a:stretch>
                  </pic:blipFill>
                  <pic:spPr>
                    <a:xfrm>
                      <a:off x="0" y="0"/>
                      <a:ext cx="5334000" cy="1690377"/>
                    </a:xfrm>
                    <a:prstGeom prst="rect">
                      <a:avLst/>
                    </a:prstGeom>
                    <a:noFill/>
                    <a:ln w="9525">
                      <a:noFill/>
                    </a:ln>
                  </pic:spPr>
                </pic:pic>
              </a:graphicData>
            </a:graphic>
          </wp:inline>
        </w:drawing>
      </w:r>
    </w:p>
    <w:bookmarkEnd w:id="5"/>
    <w:p w14:paraId="36D9EA63">
      <w:pPr>
        <w:pStyle w:val="4"/>
      </w:pPr>
      <w:bookmarkStart w:id="6" w:name="_Toc32518"/>
      <w:bookmarkStart w:id="7" w:name="流程驳回后支持审批人不变"/>
      <w:r>
        <w:rPr>
          <w:rFonts w:hint="eastAsia"/>
        </w:rPr>
        <w:t>流程驳回后支持审批人不变</w:t>
      </w:r>
      <w:bookmarkEnd w:id="6"/>
    </w:p>
    <w:p w14:paraId="32F68A08">
      <w:pPr>
        <w:pStyle w:val="24"/>
      </w:pPr>
      <w:r>
        <w:rPr>
          <w:rFonts w:hint="eastAsia"/>
        </w:rPr>
        <w:t>在审批权限设置中可以设置驳回再审批的任务只允许上一审核者处理。</w:t>
      </w:r>
    </w:p>
    <w:p w14:paraId="33D17F53">
      <w:pPr>
        <w:pStyle w:val="3"/>
      </w:pPr>
      <w:r>
        <w:drawing>
          <wp:inline distT="0" distB="0" distL="114300" distR="114300">
            <wp:extent cx="5334000" cy="2379980"/>
            <wp:effectExtent l="0" t="0" r="0" b="0"/>
            <wp:docPr id="4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descr="descript"/>
                    <pic:cNvPicPr>
                      <a:picLocks noChangeAspect="1" noChangeArrowheads="1"/>
                    </pic:cNvPicPr>
                  </pic:nvPicPr>
                  <pic:blipFill>
                    <a:blip r:embed="rId12"/>
                    <a:stretch>
                      <a:fillRect/>
                    </a:stretch>
                  </pic:blipFill>
                  <pic:spPr>
                    <a:xfrm>
                      <a:off x="0" y="0"/>
                      <a:ext cx="5334000" cy="2380372"/>
                    </a:xfrm>
                    <a:prstGeom prst="rect">
                      <a:avLst/>
                    </a:prstGeom>
                    <a:noFill/>
                    <a:ln w="9525">
                      <a:noFill/>
                    </a:ln>
                  </pic:spPr>
                </pic:pic>
              </a:graphicData>
            </a:graphic>
          </wp:inline>
        </w:drawing>
      </w:r>
    </w:p>
    <w:bookmarkEnd w:id="7"/>
    <w:p w14:paraId="50338E7B">
      <w:pPr>
        <w:pStyle w:val="4"/>
      </w:pPr>
      <w:bookmarkStart w:id="8" w:name="_Toc15366"/>
      <w:bookmarkStart w:id="9" w:name="支持客户经理权限"/>
      <w:r>
        <w:rPr>
          <w:rFonts w:hint="eastAsia"/>
        </w:rPr>
        <w:t>支持客户经理权限</w:t>
      </w:r>
      <w:bookmarkEnd w:id="8"/>
    </w:p>
    <w:p w14:paraId="631BF512">
      <w:pPr>
        <w:pStyle w:val="24"/>
      </w:pPr>
      <w:r>
        <w:rPr>
          <w:rFonts w:hint="eastAsia"/>
        </w:rPr>
        <w:t>影像归档查询、我的待办、流程查询等一些页面默认是部门权限（能看到本部及下级部门），现在这些页面支持客户经理权限：仅设置为客户经理的操作员，在部门权限的基础上会再叠加了客户关系的限制；即，客户经理只能看到自己开发的客户。</w:t>
      </w:r>
    </w:p>
    <w:p w14:paraId="77A4113C">
      <w:pPr>
        <w:pStyle w:val="3"/>
      </w:pPr>
      <w:r>
        <w:rPr>
          <w:rFonts w:hint="eastAsia"/>
        </w:rPr>
        <w:t>其中【流程查询】和【我的待办】页面客户经理权限是按流程来设置；影像归档查询是由总开关控制。</w:t>
      </w:r>
    </w:p>
    <w:p w14:paraId="6703AB58">
      <w:pPr>
        <w:pStyle w:val="3"/>
      </w:pPr>
      <w:r>
        <w:rPr>
          <w:rFonts w:hint="eastAsia"/>
        </w:rPr>
        <w:t>操作员客户经理身份设置：</w:t>
      </w:r>
    </w:p>
    <w:p w14:paraId="361844A6">
      <w:pPr>
        <w:pStyle w:val="3"/>
      </w:pPr>
      <w:r>
        <w:drawing>
          <wp:inline distT="0" distB="0" distL="114300" distR="114300">
            <wp:extent cx="5334000" cy="3855085"/>
            <wp:effectExtent l="0" t="0" r="0" b="0"/>
            <wp:docPr id="4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descr="descript"/>
                    <pic:cNvPicPr>
                      <a:picLocks noChangeAspect="1" noChangeArrowheads="1"/>
                    </pic:cNvPicPr>
                  </pic:nvPicPr>
                  <pic:blipFill>
                    <a:blip r:embed="rId13"/>
                    <a:stretch>
                      <a:fillRect/>
                    </a:stretch>
                  </pic:blipFill>
                  <pic:spPr>
                    <a:xfrm>
                      <a:off x="0" y="0"/>
                      <a:ext cx="5334000" cy="3855267"/>
                    </a:xfrm>
                    <a:prstGeom prst="rect">
                      <a:avLst/>
                    </a:prstGeom>
                    <a:noFill/>
                    <a:ln w="9525">
                      <a:noFill/>
                    </a:ln>
                  </pic:spPr>
                </pic:pic>
              </a:graphicData>
            </a:graphic>
          </wp:inline>
        </w:drawing>
      </w:r>
    </w:p>
    <w:p w14:paraId="2A8F85FD">
      <w:pPr>
        <w:pStyle w:val="3"/>
      </w:pPr>
      <w:r>
        <w:rPr>
          <w:rFonts w:hint="eastAsia"/>
          <w:b/>
          <w:bCs/>
        </w:rPr>
        <w:t>开关（影像归档查询）：</w:t>
      </w:r>
    </w:p>
    <w:p w14:paraId="16E3C8ED">
      <w:pPr>
        <w:pStyle w:val="3"/>
      </w:pPr>
      <w:r>
        <w:drawing>
          <wp:inline distT="0" distB="0" distL="114300" distR="114300">
            <wp:extent cx="5334000" cy="2089150"/>
            <wp:effectExtent l="0" t="0" r="0" b="0"/>
            <wp:docPr id="5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descr="descript"/>
                    <pic:cNvPicPr>
                      <a:picLocks noChangeAspect="1" noChangeArrowheads="1"/>
                    </pic:cNvPicPr>
                  </pic:nvPicPr>
                  <pic:blipFill>
                    <a:blip r:embed="rId14"/>
                    <a:stretch>
                      <a:fillRect/>
                    </a:stretch>
                  </pic:blipFill>
                  <pic:spPr>
                    <a:xfrm>
                      <a:off x="0" y="0"/>
                      <a:ext cx="5334000" cy="2089656"/>
                    </a:xfrm>
                    <a:prstGeom prst="rect">
                      <a:avLst/>
                    </a:prstGeom>
                    <a:noFill/>
                    <a:ln w="9525">
                      <a:noFill/>
                    </a:ln>
                  </pic:spPr>
                </pic:pic>
              </a:graphicData>
            </a:graphic>
          </wp:inline>
        </w:drawing>
      </w:r>
    </w:p>
    <w:p w14:paraId="7A4B675C">
      <w:pPr>
        <w:pStyle w:val="3"/>
      </w:pPr>
      <w:r>
        <w:rPr>
          <w:rFonts w:hint="eastAsia"/>
          <w:b/>
          <w:bCs/>
        </w:rPr>
        <w:t>开关（流程查询</w:t>
      </w:r>
      <w:r>
        <w:rPr>
          <w:b/>
          <w:bCs/>
        </w:rPr>
        <w:t xml:space="preserve"> </w:t>
      </w:r>
      <w:r>
        <w:rPr>
          <w:rFonts w:hint="eastAsia"/>
          <w:b/>
          <w:bCs/>
        </w:rPr>
        <w:t>和</w:t>
      </w:r>
      <w:r>
        <w:rPr>
          <w:b/>
          <w:bCs/>
        </w:rPr>
        <w:t xml:space="preserve"> </w:t>
      </w:r>
      <w:r>
        <w:rPr>
          <w:rFonts w:hint="eastAsia"/>
          <w:b/>
          <w:bCs/>
        </w:rPr>
        <w:t>我的待办）：</w:t>
      </w:r>
    </w:p>
    <w:p w14:paraId="6E168F86">
      <w:pPr>
        <w:pStyle w:val="3"/>
      </w:pPr>
      <w:r>
        <w:drawing>
          <wp:inline distT="0" distB="0" distL="114300" distR="114300">
            <wp:extent cx="5334000" cy="2642235"/>
            <wp:effectExtent l="0" t="0" r="0" b="0"/>
            <wp:docPr id="5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descr="descript"/>
                    <pic:cNvPicPr>
                      <a:picLocks noChangeAspect="1" noChangeArrowheads="1"/>
                    </pic:cNvPicPr>
                  </pic:nvPicPr>
                  <pic:blipFill>
                    <a:blip r:embed="rId15"/>
                    <a:stretch>
                      <a:fillRect/>
                    </a:stretch>
                  </pic:blipFill>
                  <pic:spPr>
                    <a:xfrm>
                      <a:off x="0" y="0"/>
                      <a:ext cx="5334000" cy="2642491"/>
                    </a:xfrm>
                    <a:prstGeom prst="rect">
                      <a:avLst/>
                    </a:prstGeom>
                    <a:noFill/>
                    <a:ln w="9525">
                      <a:noFill/>
                    </a:ln>
                  </pic:spPr>
                </pic:pic>
              </a:graphicData>
            </a:graphic>
          </wp:inline>
        </w:drawing>
      </w:r>
    </w:p>
    <w:bookmarkEnd w:id="9"/>
    <w:p w14:paraId="45B8044B">
      <w:pPr>
        <w:pStyle w:val="4"/>
      </w:pPr>
      <w:bookmarkStart w:id="10" w:name="_Toc20032"/>
      <w:bookmarkStart w:id="11" w:name="流程判断下一节点是否有审批人"/>
      <w:r>
        <w:rPr>
          <w:rFonts w:hint="eastAsia"/>
        </w:rPr>
        <w:t>流程判断下一节点是否有审批人</w:t>
      </w:r>
      <w:bookmarkEnd w:id="10"/>
    </w:p>
    <w:p w14:paraId="14322348">
      <w:pPr>
        <w:pStyle w:val="24"/>
      </w:pPr>
      <w:r>
        <w:rPr>
          <w:rFonts w:hint="eastAsia"/>
        </w:rPr>
        <w:t>检查到下一节点的任务无人能审批时，可选择提示警告或者报错处理。</w:t>
      </w:r>
    </w:p>
    <w:p w14:paraId="74767445">
      <w:pPr>
        <w:pStyle w:val="3"/>
      </w:pPr>
      <w:r>
        <w:drawing>
          <wp:inline distT="0" distB="0" distL="114300" distR="114300">
            <wp:extent cx="5334000" cy="1755775"/>
            <wp:effectExtent l="0" t="0" r="0" b="0"/>
            <wp:docPr id="5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descr="descript"/>
                    <pic:cNvPicPr>
                      <a:picLocks noChangeAspect="1" noChangeArrowheads="1"/>
                    </pic:cNvPicPr>
                  </pic:nvPicPr>
                  <pic:blipFill>
                    <a:blip r:embed="rId16"/>
                    <a:stretch>
                      <a:fillRect/>
                    </a:stretch>
                  </pic:blipFill>
                  <pic:spPr>
                    <a:xfrm>
                      <a:off x="0" y="0"/>
                      <a:ext cx="5334000" cy="1756176"/>
                    </a:xfrm>
                    <a:prstGeom prst="rect">
                      <a:avLst/>
                    </a:prstGeom>
                    <a:noFill/>
                    <a:ln w="9525">
                      <a:noFill/>
                    </a:ln>
                  </pic:spPr>
                </pic:pic>
              </a:graphicData>
            </a:graphic>
          </wp:inline>
        </w:drawing>
      </w:r>
    </w:p>
    <w:bookmarkEnd w:id="11"/>
    <w:p w14:paraId="62A8C7F6">
      <w:pPr>
        <w:pStyle w:val="4"/>
      </w:pPr>
      <w:bookmarkStart w:id="12" w:name="_Toc11215"/>
      <w:bookmarkStart w:id="13" w:name="云平台影像同步接口调整"/>
      <w:r>
        <w:rPr>
          <w:rFonts w:hint="eastAsia"/>
        </w:rPr>
        <w:t>云平台影像同步接口调整</w:t>
      </w:r>
      <w:bookmarkEnd w:id="12"/>
    </w:p>
    <w:p w14:paraId="20859580">
      <w:pPr>
        <w:pStyle w:val="24"/>
      </w:pPr>
      <w:r>
        <w:rPr>
          <w:rFonts w:hint="eastAsia"/>
        </w:rPr>
        <w:t>云平台影像同步接口更换为新接口。云平台以前提供影像下载的接口是有可能包含未审批通过的资料的。</w:t>
      </w:r>
    </w:p>
    <w:bookmarkEnd w:id="13"/>
    <w:p w14:paraId="6218B022">
      <w:pPr>
        <w:pStyle w:val="4"/>
      </w:pPr>
      <w:bookmarkStart w:id="14" w:name="_Toc18072"/>
      <w:bookmarkStart w:id="15" w:name="流程支持跨部门发起"/>
      <w:r>
        <w:rPr>
          <w:rFonts w:hint="eastAsia"/>
        </w:rPr>
        <w:t>流程支持跨部门发起</w:t>
      </w:r>
      <w:bookmarkEnd w:id="14"/>
    </w:p>
    <w:p w14:paraId="7DC7B3AE">
      <w:pPr>
        <w:pStyle w:val="24"/>
      </w:pPr>
      <w:r>
        <w:rPr>
          <w:rFonts w:hint="eastAsia"/>
        </w:rPr>
        <w:t>开启后发起流程时，选择账号不受部门权限控制。</w:t>
      </w:r>
    </w:p>
    <w:p w14:paraId="59761156">
      <w:pPr>
        <w:pStyle w:val="3"/>
      </w:pPr>
      <w:r>
        <w:drawing>
          <wp:inline distT="0" distB="0" distL="114300" distR="114300">
            <wp:extent cx="5334000" cy="3309620"/>
            <wp:effectExtent l="0" t="0" r="0" b="0"/>
            <wp:docPr id="6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descr="descript"/>
                    <pic:cNvPicPr>
                      <a:picLocks noChangeAspect="1" noChangeArrowheads="1"/>
                    </pic:cNvPicPr>
                  </pic:nvPicPr>
                  <pic:blipFill>
                    <a:blip r:embed="rId17"/>
                    <a:stretch>
                      <a:fillRect/>
                    </a:stretch>
                  </pic:blipFill>
                  <pic:spPr>
                    <a:xfrm>
                      <a:off x="0" y="0"/>
                      <a:ext cx="5334000" cy="3309954"/>
                    </a:xfrm>
                    <a:prstGeom prst="rect">
                      <a:avLst/>
                    </a:prstGeom>
                    <a:noFill/>
                    <a:ln w="9525">
                      <a:noFill/>
                    </a:ln>
                  </pic:spPr>
                </pic:pic>
              </a:graphicData>
            </a:graphic>
          </wp:inline>
        </w:drawing>
      </w:r>
    </w:p>
    <w:bookmarkEnd w:id="15"/>
    <w:p w14:paraId="24D09D4C">
      <w:pPr>
        <w:pStyle w:val="4"/>
      </w:pPr>
      <w:bookmarkStart w:id="16" w:name="_Toc19278"/>
      <w:bookmarkStart w:id="17" w:name="优先显示精确匹配的账号"/>
      <w:r>
        <w:rPr>
          <w:rFonts w:hint="eastAsia"/>
        </w:rPr>
        <w:t>优先显示精确匹配的账号</w:t>
      </w:r>
      <w:bookmarkEnd w:id="16"/>
    </w:p>
    <w:p w14:paraId="562B8E26">
      <w:pPr>
        <w:pStyle w:val="24"/>
      </w:pPr>
      <w:r>
        <w:rPr>
          <w:rFonts w:hint="eastAsia"/>
        </w:rPr>
        <w:t>以前可以通过输入号码后按回车进行精确查找。</w:t>
      </w:r>
    </w:p>
    <w:p w14:paraId="06F76D73">
      <w:pPr>
        <w:pStyle w:val="3"/>
      </w:pPr>
      <w:r>
        <w:rPr>
          <w:rFonts w:hint="eastAsia"/>
        </w:rPr>
        <w:t>现在优化为：操作员输入的号码如果能精确匹配到客户证件号码或客户账号就优先显示。</w:t>
      </w:r>
    </w:p>
    <w:p w14:paraId="494734DD">
      <w:pPr>
        <w:pStyle w:val="3"/>
      </w:pPr>
      <w:r>
        <w:drawing>
          <wp:inline distT="0" distB="0" distL="114300" distR="114300">
            <wp:extent cx="5334000" cy="1250315"/>
            <wp:effectExtent l="0" t="0" r="0" b="0"/>
            <wp:docPr id="6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descr="descript"/>
                    <pic:cNvPicPr>
                      <a:picLocks noChangeAspect="1" noChangeArrowheads="1"/>
                    </pic:cNvPicPr>
                  </pic:nvPicPr>
                  <pic:blipFill>
                    <a:blip r:embed="rId18"/>
                    <a:stretch>
                      <a:fillRect/>
                    </a:stretch>
                  </pic:blipFill>
                  <pic:spPr>
                    <a:xfrm>
                      <a:off x="0" y="0"/>
                      <a:ext cx="5334000" cy="1250764"/>
                    </a:xfrm>
                    <a:prstGeom prst="rect">
                      <a:avLst/>
                    </a:prstGeom>
                    <a:noFill/>
                    <a:ln w="9525">
                      <a:noFill/>
                    </a:ln>
                  </pic:spPr>
                </pic:pic>
              </a:graphicData>
            </a:graphic>
          </wp:inline>
        </w:drawing>
      </w:r>
    </w:p>
    <w:bookmarkEnd w:id="17"/>
    <w:p w14:paraId="38EAF44A">
      <w:pPr>
        <w:pStyle w:val="4"/>
      </w:pPr>
      <w:bookmarkStart w:id="18" w:name="_Toc12202"/>
      <w:bookmarkStart w:id="19" w:name="流程接龙功能允许指定多个流程"/>
      <w:r>
        <w:rPr>
          <w:rFonts w:hint="eastAsia"/>
        </w:rPr>
        <w:t>流程接龙功能允许指定多个流程</w:t>
      </w:r>
      <w:bookmarkEnd w:id="18"/>
    </w:p>
    <w:p w14:paraId="68DE0586">
      <w:pPr>
        <w:pStyle w:val="24"/>
      </w:pPr>
      <w:r>
        <w:rPr>
          <w:rFonts w:hint="eastAsia"/>
        </w:rPr>
        <w:t>可以在流程的终止节点配置多个自动发起的后续流程。</w:t>
      </w:r>
    </w:p>
    <w:p w14:paraId="586F512C">
      <w:pPr>
        <w:pStyle w:val="3"/>
      </w:pPr>
      <w:r>
        <w:drawing>
          <wp:inline distT="0" distB="0" distL="114300" distR="114300">
            <wp:extent cx="5334000" cy="2653030"/>
            <wp:effectExtent l="0" t="0" r="0" b="0"/>
            <wp:docPr id="72"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descr="descript"/>
                    <pic:cNvPicPr>
                      <a:picLocks noChangeAspect="1" noChangeArrowheads="1"/>
                    </pic:cNvPicPr>
                  </pic:nvPicPr>
                  <pic:blipFill>
                    <a:blip r:embed="rId19"/>
                    <a:stretch>
                      <a:fillRect/>
                    </a:stretch>
                  </pic:blipFill>
                  <pic:spPr>
                    <a:xfrm>
                      <a:off x="0" y="0"/>
                      <a:ext cx="5334000" cy="2653597"/>
                    </a:xfrm>
                    <a:prstGeom prst="rect">
                      <a:avLst/>
                    </a:prstGeom>
                    <a:noFill/>
                    <a:ln w="9525">
                      <a:noFill/>
                    </a:ln>
                  </pic:spPr>
                </pic:pic>
              </a:graphicData>
            </a:graphic>
          </wp:inline>
        </w:drawing>
      </w:r>
    </w:p>
    <w:bookmarkEnd w:id="19"/>
    <w:p w14:paraId="7F6464CC">
      <w:pPr>
        <w:pStyle w:val="4"/>
      </w:pPr>
      <w:bookmarkStart w:id="20" w:name="_Toc5645"/>
      <w:bookmarkStart w:id="21" w:name="流程支持调用掌厅的协议签署"/>
      <w:r>
        <w:rPr>
          <w:rFonts w:hint="eastAsia"/>
        </w:rPr>
        <w:t>流程支持调用掌厅的协议签署</w:t>
      </w:r>
      <w:bookmarkEnd w:id="20"/>
    </w:p>
    <w:p w14:paraId="4F1D578A">
      <w:pPr>
        <w:pStyle w:val="24"/>
      </w:pPr>
      <w:r>
        <w:rPr>
          <w:rFonts w:hint="eastAsia"/>
        </w:rPr>
        <w:t>流程到达节点后开始等待，在掌厅确认后继续下一步。</w:t>
      </w:r>
    </w:p>
    <w:p w14:paraId="6C24043A">
      <w:pPr>
        <w:pStyle w:val="3"/>
      </w:pPr>
      <w:r>
        <w:drawing>
          <wp:inline distT="0" distB="0" distL="114300" distR="114300">
            <wp:extent cx="5334000" cy="2703830"/>
            <wp:effectExtent l="0" t="0" r="0" b="0"/>
            <wp:docPr id="7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descr="descript"/>
                    <pic:cNvPicPr>
                      <a:picLocks noChangeAspect="1" noChangeArrowheads="1"/>
                    </pic:cNvPicPr>
                  </pic:nvPicPr>
                  <pic:blipFill>
                    <a:blip r:embed="rId20"/>
                    <a:stretch>
                      <a:fillRect/>
                    </a:stretch>
                  </pic:blipFill>
                  <pic:spPr>
                    <a:xfrm>
                      <a:off x="0" y="0"/>
                      <a:ext cx="5334000" cy="2704352"/>
                    </a:xfrm>
                    <a:prstGeom prst="rect">
                      <a:avLst/>
                    </a:prstGeom>
                    <a:noFill/>
                    <a:ln w="9525">
                      <a:noFill/>
                    </a:ln>
                  </pic:spPr>
                </pic:pic>
              </a:graphicData>
            </a:graphic>
          </wp:inline>
        </w:drawing>
      </w:r>
    </w:p>
    <w:bookmarkEnd w:id="21"/>
    <w:p w14:paraId="036751B3">
      <w:pPr>
        <w:pStyle w:val="4"/>
      </w:pPr>
      <w:bookmarkStart w:id="22" w:name="_Toc10160"/>
      <w:bookmarkStart w:id="23" w:name="流程支持证通的证照核验"/>
      <w:r>
        <w:rPr>
          <w:rFonts w:hint="eastAsia"/>
        </w:rPr>
        <w:t>流程支持证通的证照核验</w:t>
      </w:r>
      <w:bookmarkEnd w:id="22"/>
    </w:p>
    <w:p w14:paraId="5AD049EA">
      <w:pPr>
        <w:pStyle w:val="24"/>
      </w:pPr>
      <w:r>
        <w:rPr>
          <w:rFonts w:hint="eastAsia"/>
        </w:rPr>
        <w:t>可以以控件的方式嵌入到流程中；也可以单独进行使用。</w:t>
      </w:r>
    </w:p>
    <w:p w14:paraId="760087E7">
      <w:pPr>
        <w:pStyle w:val="3"/>
      </w:pPr>
      <w:r>
        <w:drawing>
          <wp:inline distT="0" distB="0" distL="114300" distR="114300">
            <wp:extent cx="5334000" cy="3655695"/>
            <wp:effectExtent l="0" t="0" r="0" b="0"/>
            <wp:docPr id="8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descr="descript"/>
                    <pic:cNvPicPr>
                      <a:picLocks noChangeAspect="1" noChangeArrowheads="1"/>
                    </pic:cNvPicPr>
                  </pic:nvPicPr>
                  <pic:blipFill>
                    <a:blip r:embed="rId21"/>
                    <a:stretch>
                      <a:fillRect/>
                    </a:stretch>
                  </pic:blipFill>
                  <pic:spPr>
                    <a:xfrm>
                      <a:off x="0" y="0"/>
                      <a:ext cx="5334000" cy="3656169"/>
                    </a:xfrm>
                    <a:prstGeom prst="rect">
                      <a:avLst/>
                    </a:prstGeom>
                    <a:noFill/>
                    <a:ln w="9525">
                      <a:noFill/>
                    </a:ln>
                  </pic:spPr>
                </pic:pic>
              </a:graphicData>
            </a:graphic>
          </wp:inline>
        </w:drawing>
      </w:r>
    </w:p>
    <w:p w14:paraId="138F59B5">
      <w:pPr>
        <w:pStyle w:val="3"/>
      </w:pPr>
      <w:r>
        <w:drawing>
          <wp:inline distT="0" distB="0" distL="114300" distR="114300">
            <wp:extent cx="5334000" cy="1469390"/>
            <wp:effectExtent l="0" t="0" r="0" b="0"/>
            <wp:docPr id="8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descr="descript"/>
                    <pic:cNvPicPr>
                      <a:picLocks noChangeAspect="1" noChangeArrowheads="1"/>
                    </pic:cNvPicPr>
                  </pic:nvPicPr>
                  <pic:blipFill>
                    <a:blip r:embed="rId22"/>
                    <a:stretch>
                      <a:fillRect/>
                    </a:stretch>
                  </pic:blipFill>
                  <pic:spPr>
                    <a:xfrm>
                      <a:off x="0" y="0"/>
                      <a:ext cx="5334000" cy="1469693"/>
                    </a:xfrm>
                    <a:prstGeom prst="rect">
                      <a:avLst/>
                    </a:prstGeom>
                    <a:noFill/>
                    <a:ln w="9525">
                      <a:noFill/>
                    </a:ln>
                  </pic:spPr>
                </pic:pic>
              </a:graphicData>
            </a:graphic>
          </wp:inline>
        </w:drawing>
      </w:r>
    </w:p>
    <w:bookmarkEnd w:id="23"/>
    <w:p w14:paraId="43DBCF76">
      <w:pPr>
        <w:pStyle w:val="4"/>
      </w:pPr>
      <w:bookmarkStart w:id="24" w:name="_Toc26319"/>
      <w:bookmarkStart w:id="25" w:name="支持自然人高龄客户验证"/>
      <w:r>
        <w:rPr>
          <w:rFonts w:hint="eastAsia"/>
        </w:rPr>
        <w:t>支持自然人高龄客户验证</w:t>
      </w:r>
      <w:bookmarkEnd w:id="24"/>
    </w:p>
    <w:p w14:paraId="7477D011">
      <w:pPr>
        <w:pStyle w:val="24"/>
      </w:pPr>
      <w:r>
        <w:rPr>
          <w:rFonts w:hint="eastAsia"/>
        </w:rPr>
        <w:t>按流程节点来配置。开启后，流程审批的时候（或者发起的时候）会进行验证。高龄的限制可以进行设置，默认是70周岁。</w:t>
      </w:r>
    </w:p>
    <w:p w14:paraId="1A8AC40D">
      <w:pPr>
        <w:pStyle w:val="3"/>
      </w:pPr>
      <w:r>
        <w:drawing>
          <wp:inline distT="0" distB="0" distL="114300" distR="114300">
            <wp:extent cx="5334000" cy="1666240"/>
            <wp:effectExtent l="0" t="0" r="0" b="0"/>
            <wp:docPr id="8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descr="descript"/>
                    <pic:cNvPicPr>
                      <a:picLocks noChangeAspect="1" noChangeArrowheads="1"/>
                    </pic:cNvPicPr>
                  </pic:nvPicPr>
                  <pic:blipFill>
                    <a:blip r:embed="rId23"/>
                    <a:stretch>
                      <a:fillRect/>
                    </a:stretch>
                  </pic:blipFill>
                  <pic:spPr>
                    <a:xfrm>
                      <a:off x="0" y="0"/>
                      <a:ext cx="5334000" cy="1666874"/>
                    </a:xfrm>
                    <a:prstGeom prst="rect">
                      <a:avLst/>
                    </a:prstGeom>
                    <a:noFill/>
                    <a:ln w="9525">
                      <a:noFill/>
                    </a:ln>
                  </pic:spPr>
                </pic:pic>
              </a:graphicData>
            </a:graphic>
          </wp:inline>
        </w:drawing>
      </w:r>
    </w:p>
    <w:p w14:paraId="22E13084">
      <w:pPr>
        <w:pStyle w:val="3"/>
      </w:pPr>
      <w:r>
        <w:drawing>
          <wp:inline distT="0" distB="0" distL="114300" distR="114300">
            <wp:extent cx="5334000" cy="1942465"/>
            <wp:effectExtent l="0" t="0" r="0" b="0"/>
            <wp:docPr id="9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descr="descript"/>
                    <pic:cNvPicPr>
                      <a:picLocks noChangeAspect="1" noChangeArrowheads="1"/>
                    </pic:cNvPicPr>
                  </pic:nvPicPr>
                  <pic:blipFill>
                    <a:blip r:embed="rId24"/>
                    <a:stretch>
                      <a:fillRect/>
                    </a:stretch>
                  </pic:blipFill>
                  <pic:spPr>
                    <a:xfrm>
                      <a:off x="0" y="0"/>
                      <a:ext cx="5334000" cy="1942609"/>
                    </a:xfrm>
                    <a:prstGeom prst="rect">
                      <a:avLst/>
                    </a:prstGeom>
                    <a:noFill/>
                    <a:ln w="9525">
                      <a:noFill/>
                    </a:ln>
                  </pic:spPr>
                </pic:pic>
              </a:graphicData>
            </a:graphic>
          </wp:inline>
        </w:drawing>
      </w:r>
    </w:p>
    <w:p w14:paraId="7B8DBE5B">
      <w:pPr>
        <w:pStyle w:val="3"/>
      </w:pPr>
      <w:r>
        <w:drawing>
          <wp:inline distT="0" distB="0" distL="114300" distR="114300">
            <wp:extent cx="5334000" cy="2331085"/>
            <wp:effectExtent l="0" t="0" r="0" b="0"/>
            <wp:docPr id="9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descr="descript"/>
                    <pic:cNvPicPr>
                      <a:picLocks noChangeAspect="1" noChangeArrowheads="1"/>
                    </pic:cNvPicPr>
                  </pic:nvPicPr>
                  <pic:blipFill>
                    <a:blip r:embed="rId25"/>
                    <a:stretch>
                      <a:fillRect/>
                    </a:stretch>
                  </pic:blipFill>
                  <pic:spPr>
                    <a:xfrm>
                      <a:off x="0" y="0"/>
                      <a:ext cx="5334000" cy="2331468"/>
                    </a:xfrm>
                    <a:prstGeom prst="rect">
                      <a:avLst/>
                    </a:prstGeom>
                    <a:noFill/>
                    <a:ln w="9525">
                      <a:noFill/>
                    </a:ln>
                  </pic:spPr>
                </pic:pic>
              </a:graphicData>
            </a:graphic>
          </wp:inline>
        </w:drawing>
      </w:r>
    </w:p>
    <w:p w14:paraId="4B24AA83">
      <w:pPr>
        <w:pStyle w:val="3"/>
      </w:pPr>
      <w:r>
        <w:drawing>
          <wp:inline distT="0" distB="0" distL="114300" distR="114300">
            <wp:extent cx="5334000" cy="2818130"/>
            <wp:effectExtent l="0" t="0" r="0" b="0"/>
            <wp:docPr id="9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descr="descript"/>
                    <pic:cNvPicPr>
                      <a:picLocks noChangeAspect="1" noChangeArrowheads="1"/>
                    </pic:cNvPicPr>
                  </pic:nvPicPr>
                  <pic:blipFill>
                    <a:blip r:embed="rId26"/>
                    <a:stretch>
                      <a:fillRect/>
                    </a:stretch>
                  </pic:blipFill>
                  <pic:spPr>
                    <a:xfrm>
                      <a:off x="0" y="0"/>
                      <a:ext cx="5334000" cy="2818752"/>
                    </a:xfrm>
                    <a:prstGeom prst="rect">
                      <a:avLst/>
                    </a:prstGeom>
                    <a:noFill/>
                    <a:ln w="9525">
                      <a:noFill/>
                    </a:ln>
                  </pic:spPr>
                </pic:pic>
              </a:graphicData>
            </a:graphic>
          </wp:inline>
        </w:drawing>
      </w:r>
    </w:p>
    <w:p w14:paraId="7F023208">
      <w:pPr>
        <w:pStyle w:val="3"/>
      </w:pPr>
      <w:r>
        <w:drawing>
          <wp:inline distT="0" distB="0" distL="114300" distR="114300">
            <wp:extent cx="5334000" cy="1064260"/>
            <wp:effectExtent l="0" t="0" r="0" b="0"/>
            <wp:docPr id="9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descr="descript"/>
                    <pic:cNvPicPr>
                      <a:picLocks noChangeAspect="1" noChangeArrowheads="1"/>
                    </pic:cNvPicPr>
                  </pic:nvPicPr>
                  <pic:blipFill>
                    <a:blip r:embed="rId27"/>
                    <a:stretch>
                      <a:fillRect/>
                    </a:stretch>
                  </pic:blipFill>
                  <pic:spPr>
                    <a:xfrm>
                      <a:off x="0" y="0"/>
                      <a:ext cx="5334000" cy="1064353"/>
                    </a:xfrm>
                    <a:prstGeom prst="rect">
                      <a:avLst/>
                    </a:prstGeom>
                    <a:noFill/>
                    <a:ln w="9525">
                      <a:noFill/>
                    </a:ln>
                  </pic:spPr>
                </pic:pic>
              </a:graphicData>
            </a:graphic>
          </wp:inline>
        </w:drawing>
      </w:r>
    </w:p>
    <w:bookmarkEnd w:id="25"/>
    <w:p w14:paraId="38FF2244">
      <w:pPr>
        <w:pStyle w:val="4"/>
      </w:pPr>
      <w:bookmarkStart w:id="26" w:name="_Toc17935"/>
      <w:bookmarkStart w:id="27" w:name="发起流程时选择客户账号的方式"/>
      <w:r>
        <w:rPr>
          <w:rFonts w:hint="eastAsia"/>
        </w:rPr>
        <w:t>发起流程时选择客户账号的方式</w:t>
      </w:r>
      <w:bookmarkEnd w:id="26"/>
    </w:p>
    <w:p w14:paraId="792C70A8">
      <w:pPr>
        <w:pStyle w:val="24"/>
      </w:pPr>
      <w:r>
        <w:rPr>
          <w:rFonts w:hint="eastAsia"/>
        </w:rPr>
        <w:t>可配置查找选择客户账号还是新增客户账号，或者两者都允许。</w:t>
      </w:r>
    </w:p>
    <w:p w14:paraId="59B2422B">
      <w:pPr>
        <w:pStyle w:val="3"/>
      </w:pPr>
      <w:r>
        <w:rPr>
          <w:rFonts w:hint="eastAsia"/>
          <w:b/>
          <w:bCs/>
        </w:rPr>
        <w:t>注意：</w:t>
      </w:r>
      <w:r>
        <w:t xml:space="preserve"> </w:t>
      </w:r>
      <w:r>
        <w:rPr>
          <w:rFonts w:hint="eastAsia"/>
        </w:rPr>
        <w:t>跨部门流程和多账户流程无效。跨部门流程只允许资金账号精确查找；多账号流程只允许查询选择。</w:t>
      </w:r>
    </w:p>
    <w:p w14:paraId="7189DD6F">
      <w:pPr>
        <w:pStyle w:val="3"/>
      </w:pPr>
      <w:r>
        <w:drawing>
          <wp:inline distT="0" distB="0" distL="114300" distR="114300">
            <wp:extent cx="5334000" cy="2718435"/>
            <wp:effectExtent l="0" t="0" r="0" b="0"/>
            <wp:docPr id="10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descr="descript"/>
                    <pic:cNvPicPr>
                      <a:picLocks noChangeAspect="1" noChangeArrowheads="1"/>
                    </pic:cNvPicPr>
                  </pic:nvPicPr>
                  <pic:blipFill>
                    <a:blip r:embed="rId28"/>
                    <a:stretch>
                      <a:fillRect/>
                    </a:stretch>
                  </pic:blipFill>
                  <pic:spPr>
                    <a:xfrm>
                      <a:off x="0" y="0"/>
                      <a:ext cx="5334000" cy="2718637"/>
                    </a:xfrm>
                    <a:prstGeom prst="rect">
                      <a:avLst/>
                    </a:prstGeom>
                    <a:noFill/>
                    <a:ln w="9525">
                      <a:noFill/>
                    </a:ln>
                  </pic:spPr>
                </pic:pic>
              </a:graphicData>
            </a:graphic>
          </wp:inline>
        </w:drawing>
      </w:r>
    </w:p>
    <w:p w14:paraId="6B1E7540">
      <w:pPr>
        <w:pStyle w:val="3"/>
      </w:pPr>
      <w:r>
        <w:drawing>
          <wp:inline distT="0" distB="0" distL="114300" distR="114300">
            <wp:extent cx="5334000" cy="1518285"/>
            <wp:effectExtent l="0" t="0" r="0" b="0"/>
            <wp:docPr id="10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descr="descript"/>
                    <pic:cNvPicPr>
                      <a:picLocks noChangeAspect="1" noChangeArrowheads="1"/>
                    </pic:cNvPicPr>
                  </pic:nvPicPr>
                  <pic:blipFill>
                    <a:blip r:embed="rId29"/>
                    <a:stretch>
                      <a:fillRect/>
                    </a:stretch>
                  </pic:blipFill>
                  <pic:spPr>
                    <a:xfrm>
                      <a:off x="0" y="0"/>
                      <a:ext cx="5334000" cy="1518621"/>
                    </a:xfrm>
                    <a:prstGeom prst="rect">
                      <a:avLst/>
                    </a:prstGeom>
                    <a:noFill/>
                    <a:ln w="9525">
                      <a:noFill/>
                    </a:ln>
                  </pic:spPr>
                </pic:pic>
              </a:graphicData>
            </a:graphic>
          </wp:inline>
        </w:drawing>
      </w:r>
    </w:p>
    <w:bookmarkEnd w:id="27"/>
    <w:p w14:paraId="734C7B62">
      <w:pPr>
        <w:pStyle w:val="4"/>
      </w:pPr>
      <w:bookmarkStart w:id="28" w:name="_Toc10343"/>
      <w:bookmarkStart w:id="29" w:name="流程查询权限增强"/>
      <w:r>
        <w:rPr>
          <w:rFonts w:hint="eastAsia"/>
        </w:rPr>
        <w:t>流程查询权限增强</w:t>
      </w:r>
      <w:bookmarkEnd w:id="28"/>
    </w:p>
    <w:p w14:paraId="0CF2C77B">
      <w:pPr>
        <w:pStyle w:val="24"/>
      </w:pPr>
      <w:r>
        <w:rPr>
          <w:rFonts w:hint="eastAsia"/>
          <w:b/>
          <w:bCs/>
        </w:rPr>
        <w:t>说明：</w:t>
      </w:r>
      <w:r>
        <w:t xml:space="preserve"> </w:t>
      </w:r>
      <w:r>
        <w:rPr>
          <w:rFonts w:hint="eastAsia"/>
        </w:rPr>
        <w:t>在原来权限控制的基础上叠加了一个黑白名单功能，可按角色也可以具体到操作员账号。</w:t>
      </w:r>
    </w:p>
    <w:p w14:paraId="3E6B08C1">
      <w:pPr>
        <w:pStyle w:val="3"/>
      </w:pPr>
      <w:r>
        <w:drawing>
          <wp:inline distT="0" distB="0" distL="114300" distR="114300">
            <wp:extent cx="5334000" cy="1726565"/>
            <wp:effectExtent l="0" t="0" r="0" b="0"/>
            <wp:docPr id="11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descr="descript"/>
                    <pic:cNvPicPr>
                      <a:picLocks noChangeAspect="1" noChangeArrowheads="1"/>
                    </pic:cNvPicPr>
                  </pic:nvPicPr>
                  <pic:blipFill>
                    <a:blip r:embed="rId30"/>
                    <a:stretch>
                      <a:fillRect/>
                    </a:stretch>
                  </pic:blipFill>
                  <pic:spPr>
                    <a:xfrm>
                      <a:off x="0" y="0"/>
                      <a:ext cx="5334000" cy="1727119"/>
                    </a:xfrm>
                    <a:prstGeom prst="rect">
                      <a:avLst/>
                    </a:prstGeom>
                    <a:noFill/>
                    <a:ln w="9525">
                      <a:noFill/>
                    </a:ln>
                  </pic:spPr>
                </pic:pic>
              </a:graphicData>
            </a:graphic>
          </wp:inline>
        </w:drawing>
      </w:r>
    </w:p>
    <w:bookmarkEnd w:id="29"/>
    <w:p w14:paraId="53F3C53F">
      <w:pPr>
        <w:pStyle w:val="4"/>
      </w:pPr>
      <w:bookmarkStart w:id="30" w:name="_Toc16195"/>
      <w:bookmarkStart w:id="31" w:name="流程中账号信息增强"/>
      <w:r>
        <w:rPr>
          <w:rFonts w:hint="eastAsia"/>
        </w:rPr>
        <w:t>流程中账号信息增强</w:t>
      </w:r>
      <w:bookmarkEnd w:id="30"/>
    </w:p>
    <w:p w14:paraId="271A6414">
      <w:pPr>
        <w:pStyle w:val="24"/>
      </w:pPr>
      <w:r>
        <w:rPr>
          <w:rFonts w:hint="eastAsia"/>
        </w:rPr>
        <w:t>增加</w:t>
      </w:r>
      <w:r>
        <w:t xml:space="preserve"> </w:t>
      </w:r>
      <w:r>
        <w:rPr>
          <w:rFonts w:hint="eastAsia"/>
        </w:rPr>
        <w:t>年龄</w:t>
      </w:r>
      <w:r>
        <w:t xml:space="preserve"> </w:t>
      </w:r>
      <w:r>
        <w:rPr>
          <w:rFonts w:hint="eastAsia"/>
        </w:rPr>
        <w:t>字段；字段可按流程单独设置显示/隐藏。</w:t>
      </w:r>
    </w:p>
    <w:p w14:paraId="2E7B4E51">
      <w:pPr>
        <w:pStyle w:val="3"/>
      </w:pPr>
      <w:r>
        <w:drawing>
          <wp:inline distT="0" distB="0" distL="114300" distR="114300">
            <wp:extent cx="5334000" cy="4609465"/>
            <wp:effectExtent l="0" t="0" r="0" b="0"/>
            <wp:docPr id="11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descr="descript"/>
                    <pic:cNvPicPr>
                      <a:picLocks noChangeAspect="1" noChangeArrowheads="1"/>
                    </pic:cNvPicPr>
                  </pic:nvPicPr>
                  <pic:blipFill>
                    <a:blip r:embed="rId31"/>
                    <a:stretch>
                      <a:fillRect/>
                    </a:stretch>
                  </pic:blipFill>
                  <pic:spPr>
                    <a:xfrm>
                      <a:off x="0" y="0"/>
                      <a:ext cx="5334000" cy="4609693"/>
                    </a:xfrm>
                    <a:prstGeom prst="rect">
                      <a:avLst/>
                    </a:prstGeom>
                    <a:noFill/>
                    <a:ln w="9525">
                      <a:noFill/>
                    </a:ln>
                  </pic:spPr>
                </pic:pic>
              </a:graphicData>
            </a:graphic>
          </wp:inline>
        </w:drawing>
      </w:r>
    </w:p>
    <w:bookmarkEnd w:id="31"/>
    <w:p w14:paraId="11E73227">
      <w:pPr>
        <w:pStyle w:val="4"/>
      </w:pPr>
      <w:bookmarkStart w:id="32" w:name="_Toc18039"/>
      <w:bookmarkStart w:id="33" w:name="流程表单拦截和验证"/>
      <w:r>
        <w:rPr>
          <w:rFonts w:hint="eastAsia"/>
        </w:rPr>
        <w:t>流程表单拦截和验证</w:t>
      </w:r>
      <w:bookmarkEnd w:id="32"/>
    </w:p>
    <w:p w14:paraId="4F52B122">
      <w:pPr>
        <w:pStyle w:val="24"/>
      </w:pPr>
      <w:r>
        <w:rPr>
          <w:rFonts w:hint="eastAsia"/>
        </w:rPr>
        <w:t>在流程图上使用表达式根据表单内容或者业务需求对流程进行拦截。此功能涉及一些代码（低代码）有一定使用难度。</w:t>
      </w:r>
    </w:p>
    <w:p w14:paraId="4BAD206D">
      <w:pPr>
        <w:pStyle w:val="3"/>
      </w:pPr>
      <w:r>
        <w:drawing>
          <wp:inline distT="0" distB="0" distL="114300" distR="114300">
            <wp:extent cx="5334000" cy="2858770"/>
            <wp:effectExtent l="0" t="0" r="0" b="0"/>
            <wp:docPr id="11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descr="descript"/>
                    <pic:cNvPicPr>
                      <a:picLocks noChangeAspect="1" noChangeArrowheads="1"/>
                    </pic:cNvPicPr>
                  </pic:nvPicPr>
                  <pic:blipFill>
                    <a:blip r:embed="rId32"/>
                    <a:stretch>
                      <a:fillRect/>
                    </a:stretch>
                  </pic:blipFill>
                  <pic:spPr>
                    <a:xfrm>
                      <a:off x="0" y="0"/>
                      <a:ext cx="5334000" cy="2859173"/>
                    </a:xfrm>
                    <a:prstGeom prst="rect">
                      <a:avLst/>
                    </a:prstGeom>
                    <a:noFill/>
                    <a:ln w="9525">
                      <a:noFill/>
                    </a:ln>
                  </pic:spPr>
                </pic:pic>
              </a:graphicData>
            </a:graphic>
          </wp:inline>
        </w:drawing>
      </w:r>
    </w:p>
    <w:p w14:paraId="5CD475D1">
      <w:pPr>
        <w:pStyle w:val="3"/>
      </w:pPr>
      <w:r>
        <w:drawing>
          <wp:inline distT="0" distB="0" distL="114300" distR="114300">
            <wp:extent cx="5334000" cy="2530475"/>
            <wp:effectExtent l="0" t="0" r="0" b="0"/>
            <wp:docPr id="12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descr="descript"/>
                    <pic:cNvPicPr>
                      <a:picLocks noChangeAspect="1" noChangeArrowheads="1"/>
                    </pic:cNvPicPr>
                  </pic:nvPicPr>
                  <pic:blipFill>
                    <a:blip r:embed="rId33"/>
                    <a:stretch>
                      <a:fillRect/>
                    </a:stretch>
                  </pic:blipFill>
                  <pic:spPr>
                    <a:xfrm>
                      <a:off x="0" y="0"/>
                      <a:ext cx="5334000" cy="2530970"/>
                    </a:xfrm>
                    <a:prstGeom prst="rect">
                      <a:avLst/>
                    </a:prstGeom>
                    <a:noFill/>
                    <a:ln w="9525">
                      <a:noFill/>
                    </a:ln>
                  </pic:spPr>
                </pic:pic>
              </a:graphicData>
            </a:graphic>
          </wp:inline>
        </w:drawing>
      </w:r>
    </w:p>
    <w:bookmarkEnd w:id="33"/>
    <w:p w14:paraId="6466DFF0">
      <w:pPr>
        <w:pStyle w:val="4"/>
      </w:pPr>
      <w:bookmarkStart w:id="34" w:name="_Toc32051"/>
      <w:bookmarkStart w:id="35" w:name="表单控件优化"/>
      <w:r>
        <w:rPr>
          <w:rFonts w:hint="eastAsia"/>
        </w:rPr>
        <w:t>表单控件优化</w:t>
      </w:r>
      <w:bookmarkEnd w:id="34"/>
    </w:p>
    <w:p w14:paraId="35757F65">
      <w:pPr>
        <w:pStyle w:val="24"/>
      </w:pPr>
      <w:r>
        <w:rPr>
          <w:rFonts w:hint="eastAsia"/>
          <w:b/>
          <w:bCs/>
        </w:rPr>
        <w:t>文件资料控件增强。</w:t>
      </w:r>
      <w:r>
        <w:t xml:space="preserve"> </w:t>
      </w:r>
      <w:r>
        <w:rPr>
          <w:rFonts w:hint="eastAsia"/>
        </w:rPr>
        <w:t>支持显示'查看档案'、发起时带出历史影像(以前是基于流程)、上传数量限制</w:t>
      </w:r>
    </w:p>
    <w:p w14:paraId="22FACE65">
      <w:pPr>
        <w:pStyle w:val="3"/>
      </w:pPr>
      <w:r>
        <w:drawing>
          <wp:inline distT="0" distB="0" distL="114300" distR="114300">
            <wp:extent cx="5334000" cy="3470910"/>
            <wp:effectExtent l="0" t="0" r="0" b="0"/>
            <wp:docPr id="125"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descr="descript"/>
                    <pic:cNvPicPr>
                      <a:picLocks noChangeAspect="1" noChangeArrowheads="1"/>
                    </pic:cNvPicPr>
                  </pic:nvPicPr>
                  <pic:blipFill>
                    <a:blip r:embed="rId34"/>
                    <a:stretch>
                      <a:fillRect/>
                    </a:stretch>
                  </pic:blipFill>
                  <pic:spPr>
                    <a:xfrm>
                      <a:off x="0" y="0"/>
                      <a:ext cx="5334000" cy="3471465"/>
                    </a:xfrm>
                    <a:prstGeom prst="rect">
                      <a:avLst/>
                    </a:prstGeom>
                    <a:noFill/>
                    <a:ln w="9525">
                      <a:noFill/>
                    </a:ln>
                  </pic:spPr>
                </pic:pic>
              </a:graphicData>
            </a:graphic>
          </wp:inline>
        </w:drawing>
      </w:r>
    </w:p>
    <w:p w14:paraId="6AA63231">
      <w:pPr>
        <w:pStyle w:val="3"/>
      </w:pPr>
      <w:r>
        <w:rPr>
          <w:rFonts w:hint="eastAsia"/>
          <w:b/>
          <w:bCs/>
        </w:rPr>
        <w:t>支持不归档文件控件。</w:t>
      </w:r>
      <w:r>
        <w:rPr>
          <w:rFonts w:hint="eastAsia"/>
        </w:rPr>
        <w:t>指有些影像资料只是辅助流程审批，不需要随流程的完成而归档到客户名下。</w:t>
      </w:r>
    </w:p>
    <w:p w14:paraId="49C54545">
      <w:pPr>
        <w:pStyle w:val="3"/>
      </w:pPr>
      <w:r>
        <w:drawing>
          <wp:inline distT="0" distB="0" distL="114300" distR="114300">
            <wp:extent cx="5334000" cy="1665605"/>
            <wp:effectExtent l="0" t="0" r="0" b="0"/>
            <wp:docPr id="12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descr="descript"/>
                    <pic:cNvPicPr>
                      <a:picLocks noChangeAspect="1" noChangeArrowheads="1"/>
                    </pic:cNvPicPr>
                  </pic:nvPicPr>
                  <pic:blipFill>
                    <a:blip r:embed="rId35"/>
                    <a:stretch>
                      <a:fillRect/>
                    </a:stretch>
                  </pic:blipFill>
                  <pic:spPr>
                    <a:xfrm>
                      <a:off x="0" y="0"/>
                      <a:ext cx="5334000" cy="1665747"/>
                    </a:xfrm>
                    <a:prstGeom prst="rect">
                      <a:avLst/>
                    </a:prstGeom>
                    <a:noFill/>
                    <a:ln w="9525">
                      <a:noFill/>
                    </a:ln>
                  </pic:spPr>
                </pic:pic>
              </a:graphicData>
            </a:graphic>
          </wp:inline>
        </w:drawing>
      </w:r>
    </w:p>
    <w:p w14:paraId="4A5E4BD1">
      <w:pPr>
        <w:pStyle w:val="3"/>
      </w:pPr>
      <w:r>
        <w:drawing>
          <wp:inline distT="0" distB="0" distL="114300" distR="114300">
            <wp:extent cx="5334000" cy="3515360"/>
            <wp:effectExtent l="0" t="0" r="0" b="0"/>
            <wp:docPr id="13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descr="descript"/>
                    <pic:cNvPicPr>
                      <a:picLocks noChangeAspect="1" noChangeArrowheads="1"/>
                    </pic:cNvPicPr>
                  </pic:nvPicPr>
                  <pic:blipFill>
                    <a:blip r:embed="rId36"/>
                    <a:stretch>
                      <a:fillRect/>
                    </a:stretch>
                  </pic:blipFill>
                  <pic:spPr>
                    <a:xfrm>
                      <a:off x="0" y="0"/>
                      <a:ext cx="5334000" cy="3515452"/>
                    </a:xfrm>
                    <a:prstGeom prst="rect">
                      <a:avLst/>
                    </a:prstGeom>
                    <a:noFill/>
                    <a:ln w="9525">
                      <a:noFill/>
                    </a:ln>
                  </pic:spPr>
                </pic:pic>
              </a:graphicData>
            </a:graphic>
          </wp:inline>
        </w:drawing>
      </w:r>
    </w:p>
    <w:p w14:paraId="2E4CBD1B">
      <w:pPr>
        <w:pStyle w:val="3"/>
      </w:pPr>
      <w:r>
        <w:rPr>
          <w:rFonts w:hint="eastAsia"/>
          <w:b/>
          <w:bCs/>
        </w:rPr>
        <w:t>增强图片浏览控件</w:t>
      </w:r>
    </w:p>
    <w:p w14:paraId="7C681B7A">
      <w:pPr>
        <w:pStyle w:val="3"/>
      </w:pPr>
      <w:r>
        <w:rPr>
          <w:rFonts w:hint="eastAsia"/>
        </w:rPr>
        <w:t>支持图片打印、批量打印、旋转保存、支持TIF图片类型；集成图片预览、音视频播放和pdf预览，（实验性）支持word、excel、ppt的预览。</w:t>
      </w:r>
    </w:p>
    <w:p w14:paraId="759C3F7D">
      <w:pPr>
        <w:pStyle w:val="3"/>
      </w:pPr>
      <w:r>
        <w:drawing>
          <wp:inline distT="0" distB="0" distL="114300" distR="114300">
            <wp:extent cx="5334000" cy="3602990"/>
            <wp:effectExtent l="0" t="0" r="0" b="0"/>
            <wp:docPr id="13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descr="descript"/>
                    <pic:cNvPicPr>
                      <a:picLocks noChangeAspect="1" noChangeArrowheads="1"/>
                    </pic:cNvPicPr>
                  </pic:nvPicPr>
                  <pic:blipFill>
                    <a:blip r:embed="rId37"/>
                    <a:stretch>
                      <a:fillRect/>
                    </a:stretch>
                  </pic:blipFill>
                  <pic:spPr>
                    <a:xfrm>
                      <a:off x="0" y="0"/>
                      <a:ext cx="5334000" cy="3603054"/>
                    </a:xfrm>
                    <a:prstGeom prst="rect">
                      <a:avLst/>
                    </a:prstGeom>
                    <a:noFill/>
                    <a:ln w="9525">
                      <a:noFill/>
                    </a:ln>
                  </pic:spPr>
                </pic:pic>
              </a:graphicData>
            </a:graphic>
          </wp:inline>
        </w:drawing>
      </w:r>
    </w:p>
    <w:p w14:paraId="640CEBF1">
      <w:pPr>
        <w:pStyle w:val="3"/>
      </w:pPr>
      <w:r>
        <w:rPr>
          <w:rFonts w:hint="eastAsia"/>
        </w:rPr>
        <w:t>支持对”外国人永久居留证”号码的验证。在新增客户时，原来支持对身份证、组代、统一信用代码的验证，现在扩充了外国永居验证。</w:t>
      </w:r>
    </w:p>
    <w:p w14:paraId="7A5294C0">
      <w:pPr>
        <w:pStyle w:val="3"/>
      </w:pPr>
      <w:r>
        <w:drawing>
          <wp:inline distT="0" distB="0" distL="114300" distR="114300">
            <wp:extent cx="5334000" cy="4744720"/>
            <wp:effectExtent l="0" t="0" r="0" b="0"/>
            <wp:docPr id="13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descr="descript"/>
                    <pic:cNvPicPr>
                      <a:picLocks noChangeAspect="1" noChangeArrowheads="1"/>
                    </pic:cNvPicPr>
                  </pic:nvPicPr>
                  <pic:blipFill>
                    <a:blip r:embed="rId38"/>
                    <a:stretch>
                      <a:fillRect/>
                    </a:stretch>
                  </pic:blipFill>
                  <pic:spPr>
                    <a:xfrm>
                      <a:off x="0" y="0"/>
                      <a:ext cx="5334000" cy="4745093"/>
                    </a:xfrm>
                    <a:prstGeom prst="rect">
                      <a:avLst/>
                    </a:prstGeom>
                    <a:noFill/>
                    <a:ln w="9525">
                      <a:noFill/>
                    </a:ln>
                  </pic:spPr>
                </pic:pic>
              </a:graphicData>
            </a:graphic>
          </wp:inline>
        </w:drawing>
      </w:r>
    </w:p>
    <w:bookmarkEnd w:id="35"/>
    <w:p w14:paraId="082C5DEB">
      <w:pPr>
        <w:pStyle w:val="4"/>
      </w:pPr>
      <w:bookmarkStart w:id="36" w:name="_Toc9449"/>
      <w:bookmarkStart w:id="37" w:name="合同模块相关"/>
      <w:r>
        <w:rPr>
          <w:rFonts w:hint="eastAsia"/>
        </w:rPr>
        <w:t>合同模块相关</w:t>
      </w:r>
      <w:bookmarkEnd w:id="36"/>
    </w:p>
    <w:p w14:paraId="6698E8AF">
      <w:pPr>
        <w:pStyle w:val="24"/>
      </w:pPr>
      <w:r>
        <w:rPr>
          <w:rFonts w:hint="eastAsia"/>
          <w:b/>
          <w:bCs/>
        </w:rPr>
        <w:t>部门申领查询、员工申领查询、作废查询页面支持导出Excel。</w:t>
      </w:r>
    </w:p>
    <w:p w14:paraId="65D02B73">
      <w:pPr>
        <w:pStyle w:val="3"/>
      </w:pPr>
      <w:r>
        <w:drawing>
          <wp:inline distT="0" distB="0" distL="114300" distR="114300">
            <wp:extent cx="5334000" cy="1210945"/>
            <wp:effectExtent l="0" t="0" r="0" b="0"/>
            <wp:docPr id="14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descr="descript"/>
                    <pic:cNvPicPr>
                      <a:picLocks noChangeAspect="1" noChangeArrowheads="1"/>
                    </pic:cNvPicPr>
                  </pic:nvPicPr>
                  <pic:blipFill>
                    <a:blip r:embed="rId39"/>
                    <a:stretch>
                      <a:fillRect/>
                    </a:stretch>
                  </pic:blipFill>
                  <pic:spPr>
                    <a:xfrm>
                      <a:off x="0" y="0"/>
                      <a:ext cx="5334000" cy="1211486"/>
                    </a:xfrm>
                    <a:prstGeom prst="rect">
                      <a:avLst/>
                    </a:prstGeom>
                    <a:noFill/>
                    <a:ln w="9525">
                      <a:noFill/>
                    </a:ln>
                  </pic:spPr>
                </pic:pic>
              </a:graphicData>
            </a:graphic>
          </wp:inline>
        </w:drawing>
      </w:r>
    </w:p>
    <w:p w14:paraId="74065B0E">
      <w:pPr>
        <w:pStyle w:val="3"/>
      </w:pPr>
      <w:r>
        <w:rPr>
          <w:rFonts w:hint="eastAsia"/>
          <w:b/>
          <w:bCs/>
        </w:rPr>
        <w:t>支持非入库类合同不用申领就可以归档。</w:t>
      </w:r>
      <w:r>
        <w:t xml:space="preserve"> </w:t>
      </w:r>
      <w:r>
        <w:rPr>
          <w:rFonts w:hint="eastAsia"/>
        </w:rPr>
        <w:t>设置后允许未申领的非入库合同发起归档流程。</w:t>
      </w:r>
    </w:p>
    <w:p w14:paraId="35D6E2B2">
      <w:pPr>
        <w:pStyle w:val="3"/>
      </w:pPr>
      <w:r>
        <w:drawing>
          <wp:inline distT="0" distB="0" distL="114300" distR="114300">
            <wp:extent cx="5334000" cy="659130"/>
            <wp:effectExtent l="0" t="0" r="0" b="0"/>
            <wp:docPr id="14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descr="descript"/>
                    <pic:cNvPicPr>
                      <a:picLocks noChangeAspect="1" noChangeArrowheads="1"/>
                    </pic:cNvPicPr>
                  </pic:nvPicPr>
                  <pic:blipFill>
                    <a:blip r:embed="rId40"/>
                    <a:stretch>
                      <a:fillRect/>
                    </a:stretch>
                  </pic:blipFill>
                  <pic:spPr>
                    <a:xfrm>
                      <a:off x="0" y="0"/>
                      <a:ext cx="5334000" cy="659258"/>
                    </a:xfrm>
                    <a:prstGeom prst="rect">
                      <a:avLst/>
                    </a:prstGeom>
                    <a:noFill/>
                    <a:ln w="9525">
                      <a:noFill/>
                    </a:ln>
                  </pic:spPr>
                </pic:pic>
              </a:graphicData>
            </a:graphic>
          </wp:inline>
        </w:drawing>
      </w:r>
    </w:p>
    <w:p w14:paraId="6E20E8A6">
      <w:pPr>
        <w:pStyle w:val="3"/>
      </w:pPr>
      <w:r>
        <w:rPr>
          <w:rFonts w:hint="eastAsia"/>
          <w:b/>
          <w:bCs/>
        </w:rPr>
        <w:t>合同邮寄控件增强。</w:t>
      </w:r>
      <w:r>
        <w:t xml:space="preserve"> </w:t>
      </w:r>
      <w:r>
        <w:rPr>
          <w:rFonts w:hint="eastAsia"/>
        </w:rPr>
        <w:t>支持控制可显示字段、必填字段</w:t>
      </w:r>
    </w:p>
    <w:p w14:paraId="2504CBA7">
      <w:pPr>
        <w:pStyle w:val="3"/>
      </w:pPr>
      <w:r>
        <w:drawing>
          <wp:inline distT="0" distB="0" distL="114300" distR="114300">
            <wp:extent cx="5334000" cy="951230"/>
            <wp:effectExtent l="0" t="0" r="0" b="0"/>
            <wp:docPr id="14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descr="descript"/>
                    <pic:cNvPicPr>
                      <a:picLocks noChangeAspect="1" noChangeArrowheads="1"/>
                    </pic:cNvPicPr>
                  </pic:nvPicPr>
                  <pic:blipFill>
                    <a:blip r:embed="rId41"/>
                    <a:stretch>
                      <a:fillRect/>
                    </a:stretch>
                  </pic:blipFill>
                  <pic:spPr>
                    <a:xfrm>
                      <a:off x="0" y="0"/>
                      <a:ext cx="5334000" cy="951286"/>
                    </a:xfrm>
                    <a:prstGeom prst="rect">
                      <a:avLst/>
                    </a:prstGeom>
                    <a:noFill/>
                    <a:ln w="9525">
                      <a:noFill/>
                    </a:ln>
                  </pic:spPr>
                </pic:pic>
              </a:graphicData>
            </a:graphic>
          </wp:inline>
        </w:drawing>
      </w:r>
    </w:p>
    <w:p w14:paraId="4C059E7E">
      <w:pPr>
        <w:pStyle w:val="3"/>
      </w:pPr>
      <w:r>
        <w:drawing>
          <wp:inline distT="0" distB="0" distL="114300" distR="114300">
            <wp:extent cx="5334000" cy="2696210"/>
            <wp:effectExtent l="0" t="0" r="0" b="0"/>
            <wp:docPr id="15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descr="descript"/>
                    <pic:cNvPicPr>
                      <a:picLocks noChangeAspect="1" noChangeArrowheads="1"/>
                    </pic:cNvPicPr>
                  </pic:nvPicPr>
                  <pic:blipFill>
                    <a:blip r:embed="rId42"/>
                    <a:stretch>
                      <a:fillRect/>
                    </a:stretch>
                  </pic:blipFill>
                  <pic:spPr>
                    <a:xfrm>
                      <a:off x="0" y="0"/>
                      <a:ext cx="5334000" cy="2696811"/>
                    </a:xfrm>
                    <a:prstGeom prst="rect">
                      <a:avLst/>
                    </a:prstGeom>
                    <a:noFill/>
                    <a:ln w="9525">
                      <a:noFill/>
                    </a:ln>
                  </pic:spPr>
                </pic:pic>
              </a:graphicData>
            </a:graphic>
          </wp:inline>
        </w:drawing>
      </w:r>
    </w:p>
    <w:p w14:paraId="4460DDCF">
      <w:pPr>
        <w:pStyle w:val="3"/>
      </w:pPr>
      <w:r>
        <w:rPr>
          <w:rFonts w:hint="eastAsia"/>
          <w:b/>
          <w:bCs/>
        </w:rPr>
        <w:t>部门申领、员工申领、借调、分配合同等支持指定时间。</w:t>
      </w:r>
      <w:r>
        <w:t xml:space="preserve"> </w:t>
      </w:r>
      <w:r>
        <w:rPr>
          <w:rFonts w:hint="eastAsia"/>
        </w:rPr>
        <w:t>需要通过开关开启功能。</w:t>
      </w:r>
    </w:p>
    <w:p w14:paraId="0FDF859F">
      <w:pPr>
        <w:pStyle w:val="3"/>
      </w:pPr>
      <w:r>
        <w:drawing>
          <wp:inline distT="0" distB="0" distL="114300" distR="114300">
            <wp:extent cx="5334000" cy="1769745"/>
            <wp:effectExtent l="0" t="0" r="0" b="0"/>
            <wp:docPr id="153"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descr="descript"/>
                    <pic:cNvPicPr>
                      <a:picLocks noChangeAspect="1" noChangeArrowheads="1"/>
                    </pic:cNvPicPr>
                  </pic:nvPicPr>
                  <pic:blipFill>
                    <a:blip r:embed="rId43"/>
                    <a:stretch>
                      <a:fillRect/>
                    </a:stretch>
                  </pic:blipFill>
                  <pic:spPr>
                    <a:xfrm>
                      <a:off x="0" y="0"/>
                      <a:ext cx="5334000" cy="1769773"/>
                    </a:xfrm>
                    <a:prstGeom prst="rect">
                      <a:avLst/>
                    </a:prstGeom>
                    <a:noFill/>
                    <a:ln w="9525">
                      <a:noFill/>
                    </a:ln>
                  </pic:spPr>
                </pic:pic>
              </a:graphicData>
            </a:graphic>
          </wp:inline>
        </w:drawing>
      </w:r>
    </w:p>
    <w:p w14:paraId="11203198">
      <w:pPr>
        <w:pStyle w:val="3"/>
      </w:pPr>
      <w:r>
        <w:drawing>
          <wp:inline distT="0" distB="0" distL="114300" distR="114300">
            <wp:extent cx="5334000" cy="3386455"/>
            <wp:effectExtent l="0" t="0" r="0" b="0"/>
            <wp:docPr id="156"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descr="descript"/>
                    <pic:cNvPicPr>
                      <a:picLocks noChangeAspect="1" noChangeArrowheads="1"/>
                    </pic:cNvPicPr>
                  </pic:nvPicPr>
                  <pic:blipFill>
                    <a:blip r:embed="rId44"/>
                    <a:stretch>
                      <a:fillRect/>
                    </a:stretch>
                  </pic:blipFill>
                  <pic:spPr>
                    <a:xfrm>
                      <a:off x="0" y="0"/>
                      <a:ext cx="5334000" cy="3386561"/>
                    </a:xfrm>
                    <a:prstGeom prst="rect">
                      <a:avLst/>
                    </a:prstGeom>
                    <a:noFill/>
                    <a:ln w="9525">
                      <a:noFill/>
                    </a:ln>
                  </pic:spPr>
                </pic:pic>
              </a:graphicData>
            </a:graphic>
          </wp:inline>
        </w:drawing>
      </w:r>
    </w:p>
    <w:p w14:paraId="0C8DFCDA">
      <w:pPr>
        <w:pStyle w:val="3"/>
      </w:pPr>
      <w:r>
        <w:rPr>
          <w:rFonts w:hint="eastAsia"/>
          <w:b/>
          <w:bCs/>
        </w:rPr>
        <w:t>员工申领、部门申领、合同遗失、合同作废几个功能支持直接生效（可以不走流程）。</w:t>
      </w:r>
    </w:p>
    <w:p w14:paraId="2E4F3B74">
      <w:pPr>
        <w:pStyle w:val="3"/>
      </w:pPr>
      <w:r>
        <w:drawing>
          <wp:inline distT="0" distB="0" distL="114300" distR="114300">
            <wp:extent cx="5334000" cy="1745615"/>
            <wp:effectExtent l="0" t="0" r="0" b="0"/>
            <wp:docPr id="159"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descr="descript"/>
                    <pic:cNvPicPr>
                      <a:picLocks noChangeAspect="1" noChangeArrowheads="1"/>
                    </pic:cNvPicPr>
                  </pic:nvPicPr>
                  <pic:blipFill>
                    <a:blip r:embed="rId45"/>
                    <a:stretch>
                      <a:fillRect/>
                    </a:stretch>
                  </pic:blipFill>
                  <pic:spPr>
                    <a:xfrm>
                      <a:off x="0" y="0"/>
                      <a:ext cx="5334000" cy="1745735"/>
                    </a:xfrm>
                    <a:prstGeom prst="rect">
                      <a:avLst/>
                    </a:prstGeom>
                    <a:noFill/>
                    <a:ln w="9525">
                      <a:noFill/>
                    </a:ln>
                  </pic:spPr>
                </pic:pic>
              </a:graphicData>
            </a:graphic>
          </wp:inline>
        </w:drawing>
      </w:r>
    </w:p>
    <w:bookmarkEnd w:id="37"/>
    <w:p w14:paraId="4CB7B55E">
      <w:pPr>
        <w:pStyle w:val="4"/>
      </w:pPr>
      <w:bookmarkStart w:id="38" w:name="_Toc30523"/>
      <w:bookmarkStart w:id="39" w:name="系统对接相关"/>
      <w:r>
        <w:rPr>
          <w:rFonts w:hint="eastAsia"/>
        </w:rPr>
        <w:t>系统对接相关</w:t>
      </w:r>
      <w:bookmarkEnd w:id="38"/>
    </w:p>
    <w:p w14:paraId="717A3713">
      <w:pPr>
        <w:pStyle w:val="24"/>
      </w:pPr>
      <w:r>
        <w:rPr>
          <w:rFonts w:hint="eastAsia"/>
          <w:b/>
          <w:bCs/>
        </w:rPr>
        <w:t>机构预录入对接流程</w:t>
      </w:r>
    </w:p>
    <w:p w14:paraId="7788066D">
      <w:pPr>
        <w:pStyle w:val="3"/>
      </w:pPr>
      <w:r>
        <w:rPr>
          <w:rFonts w:hint="eastAsia"/>
          <w:b/>
          <w:bCs/>
        </w:rPr>
        <w:t>机构客户开户</w:t>
      </w:r>
    </w:p>
    <w:p w14:paraId="56ECEF37">
      <w:pPr>
        <w:pStyle w:val="3"/>
      </w:pPr>
      <w:r>
        <w:rPr>
          <w:rFonts w:hint="eastAsia"/>
        </w:rPr>
        <w:t>机构与录入审批通过后，可以携带着资料信息来启动业务管理平台中的流程。</w:t>
      </w:r>
    </w:p>
    <w:p w14:paraId="6048602E">
      <w:pPr>
        <w:pStyle w:val="3"/>
      </w:pPr>
      <w:r>
        <w:rPr>
          <w:rFonts w:hint="eastAsia"/>
          <w:b/>
          <w:bCs/>
        </w:rPr>
        <w:t>掌厅对接流程</w:t>
      </w:r>
    </w:p>
    <w:p w14:paraId="00EB0ABC">
      <w:pPr>
        <w:pStyle w:val="3"/>
      </w:pPr>
      <w:r>
        <w:rPr>
          <w:rFonts w:hint="eastAsia"/>
          <w:b/>
          <w:bCs/>
        </w:rPr>
        <w:t>次席切换流程</w:t>
      </w:r>
    </w:p>
    <w:p w14:paraId="21795727">
      <w:pPr>
        <w:pStyle w:val="3"/>
      </w:pPr>
      <w:r>
        <w:rPr>
          <w:rFonts w:hint="eastAsia"/>
        </w:rPr>
        <w:t>可让客户在掌厅客户端上发起流程，然后掌厅后台将流程转到业务管理平台。</w:t>
      </w:r>
    </w:p>
    <w:p w14:paraId="0EB8CBA5">
      <w:pPr>
        <w:pStyle w:val="3"/>
      </w:pPr>
      <w:r>
        <w:rPr>
          <w:rFonts w:hint="eastAsia"/>
          <w:b/>
          <w:bCs/>
        </w:rPr>
        <w:t>浮动手续费流程</w:t>
      </w:r>
    </w:p>
    <w:p w14:paraId="0EE3F54A">
      <w:pPr>
        <w:pStyle w:val="3"/>
      </w:pPr>
      <w:r>
        <w:rPr>
          <w:rFonts w:hint="eastAsia"/>
        </w:rPr>
        <w:t>场景1：可让客户在掌厅客户端上发起流程，然后掌厅后台将流程转到业务管理平台；</w:t>
      </w:r>
    </w:p>
    <w:p w14:paraId="49D51752">
      <w:pPr>
        <w:pStyle w:val="3"/>
      </w:pPr>
      <w:r>
        <w:rPr>
          <w:rFonts w:hint="eastAsia"/>
        </w:rPr>
        <w:t>场景2：客户经理在业务管理管理平台中发起流程，客户在掌厅中进行签字确认。</w:t>
      </w:r>
    </w:p>
    <w:p w14:paraId="500AB87C">
      <w:pPr>
        <w:pStyle w:val="3"/>
      </w:pPr>
      <w:r>
        <w:rPr>
          <w:rFonts w:hint="eastAsia"/>
          <w:b/>
          <w:bCs/>
        </w:rPr>
        <w:t>新佣金模块</w:t>
      </w:r>
    </w:p>
    <w:p w14:paraId="534AD8E3">
      <w:pPr>
        <w:pStyle w:val="3"/>
      </w:pPr>
      <w:r>
        <w:rPr>
          <w:rFonts w:hint="eastAsia"/>
        </w:rPr>
        <w:t>居间人信息的新增和修改</w:t>
      </w:r>
    </w:p>
    <w:p w14:paraId="6FBE12BD">
      <w:pPr>
        <w:pStyle w:val="3"/>
      </w:pPr>
      <w:r>
        <w:rPr>
          <w:rFonts w:hint="eastAsia"/>
        </w:rPr>
        <w:t>员工信息的新增和修改</w:t>
      </w:r>
    </w:p>
    <w:p w14:paraId="2E4EB2AF">
      <w:pPr>
        <w:pStyle w:val="3"/>
      </w:pPr>
      <w:r>
        <w:rPr>
          <w:rFonts w:hint="eastAsia"/>
        </w:rPr>
        <w:t>以下为PRO版新加功能</w:t>
      </w:r>
    </w:p>
    <w:bookmarkEnd w:id="39"/>
    <w:p w14:paraId="68CA13F4">
      <w:pPr>
        <w:pStyle w:val="4"/>
      </w:pPr>
      <w:bookmarkStart w:id="40" w:name="_Toc23642"/>
      <w:bookmarkStart w:id="41" w:name="可配置页面的查询条件和结果表格"/>
      <w:r>
        <w:rPr>
          <w:rFonts w:hint="eastAsia"/>
        </w:rPr>
        <w:t>可配置页面的查询条件和结果表格</w:t>
      </w:r>
      <w:bookmarkEnd w:id="40"/>
    </w:p>
    <w:p w14:paraId="40790322">
      <w:pPr>
        <w:pStyle w:val="24"/>
      </w:pPr>
      <w:r>
        <w:rPr>
          <w:rFonts w:hint="eastAsia"/>
        </w:rPr>
        <w:t>根据个人偏好来设置大部分页面的查询条件和结果表格的显示字段、显示顺序。</w:t>
      </w:r>
    </w:p>
    <w:p w14:paraId="51E30343">
      <w:pPr>
        <w:pStyle w:val="3"/>
      </w:pPr>
      <w:r>
        <w:drawing>
          <wp:inline distT="0" distB="0" distL="114300" distR="114300">
            <wp:extent cx="5334000" cy="1508125"/>
            <wp:effectExtent l="0" t="0" r="0" b="0"/>
            <wp:docPr id="16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descr="descript"/>
                    <pic:cNvPicPr>
                      <a:picLocks noChangeAspect="1" noChangeArrowheads="1"/>
                    </pic:cNvPicPr>
                  </pic:nvPicPr>
                  <pic:blipFill>
                    <a:blip r:embed="rId46"/>
                    <a:stretch>
                      <a:fillRect/>
                    </a:stretch>
                  </pic:blipFill>
                  <pic:spPr>
                    <a:xfrm>
                      <a:off x="0" y="0"/>
                      <a:ext cx="5334000" cy="1508759"/>
                    </a:xfrm>
                    <a:prstGeom prst="rect">
                      <a:avLst/>
                    </a:prstGeom>
                    <a:noFill/>
                    <a:ln w="9525">
                      <a:noFill/>
                    </a:ln>
                  </pic:spPr>
                </pic:pic>
              </a:graphicData>
            </a:graphic>
          </wp:inline>
        </w:drawing>
      </w:r>
    </w:p>
    <w:p w14:paraId="20060DD0">
      <w:pPr>
        <w:pStyle w:val="3"/>
      </w:pPr>
      <w:r>
        <w:drawing>
          <wp:inline distT="0" distB="0" distL="114300" distR="114300">
            <wp:extent cx="5334000" cy="5597525"/>
            <wp:effectExtent l="0" t="0" r="0" b="0"/>
            <wp:docPr id="16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descr="descript"/>
                    <pic:cNvPicPr>
                      <a:picLocks noChangeAspect="1" noChangeArrowheads="1"/>
                    </pic:cNvPicPr>
                  </pic:nvPicPr>
                  <pic:blipFill>
                    <a:blip r:embed="rId47"/>
                    <a:stretch>
                      <a:fillRect/>
                    </a:stretch>
                  </pic:blipFill>
                  <pic:spPr>
                    <a:xfrm>
                      <a:off x="0" y="0"/>
                      <a:ext cx="5334000" cy="5597872"/>
                    </a:xfrm>
                    <a:prstGeom prst="rect">
                      <a:avLst/>
                    </a:prstGeom>
                    <a:noFill/>
                    <a:ln w="9525">
                      <a:noFill/>
                    </a:ln>
                  </pic:spPr>
                </pic:pic>
              </a:graphicData>
            </a:graphic>
          </wp:inline>
        </w:drawing>
      </w:r>
    </w:p>
    <w:bookmarkEnd w:id="41"/>
    <w:p w14:paraId="0CC56E52">
      <w:pPr>
        <w:pStyle w:val="4"/>
      </w:pPr>
      <w:bookmarkStart w:id="42" w:name="_Toc12139"/>
      <w:bookmarkStart w:id="43" w:name="根据流程表单内文件合并生成pdf"/>
      <w:r>
        <w:rPr>
          <w:rFonts w:hint="eastAsia"/>
        </w:rPr>
        <w:t>根据流程表单内文件合并生成PDF</w:t>
      </w:r>
      <w:bookmarkEnd w:id="42"/>
    </w:p>
    <w:p w14:paraId="6C27297D">
      <w:pPr>
        <w:pStyle w:val="24"/>
      </w:pPr>
      <w:r>
        <w:rPr>
          <w:rFonts w:hint="eastAsia"/>
        </w:rPr>
        <w:t>合成新的pdf，目前该功能主要用来方便给机构开户流程生成上报文件用。支持俩种模式，事先指定好要生成的源资料；或临时选择生成资料。</w:t>
      </w:r>
    </w:p>
    <w:p w14:paraId="0D70A53B">
      <w:pPr>
        <w:pStyle w:val="3"/>
      </w:pPr>
      <w:r>
        <w:rPr>
          <w:rFonts w:hint="eastAsia"/>
          <w:b/>
          <w:bCs/>
        </w:rPr>
        <w:t>控件：</w:t>
      </w:r>
    </w:p>
    <w:p w14:paraId="6C033909">
      <w:pPr>
        <w:pStyle w:val="3"/>
      </w:pPr>
      <w:r>
        <w:drawing>
          <wp:inline distT="0" distB="0" distL="114300" distR="114300">
            <wp:extent cx="5201920" cy="752475"/>
            <wp:effectExtent l="0" t="0" r="0" b="0"/>
            <wp:docPr id="17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descr="descript"/>
                    <pic:cNvPicPr>
                      <a:picLocks noChangeAspect="1" noChangeArrowheads="1"/>
                    </pic:cNvPicPr>
                  </pic:nvPicPr>
                  <pic:blipFill>
                    <a:blip r:embed="rId48"/>
                    <a:stretch>
                      <a:fillRect/>
                    </a:stretch>
                  </pic:blipFill>
                  <pic:spPr>
                    <a:xfrm>
                      <a:off x="0" y="0"/>
                      <a:ext cx="5201999" cy="752670"/>
                    </a:xfrm>
                    <a:prstGeom prst="rect">
                      <a:avLst/>
                    </a:prstGeom>
                    <a:noFill/>
                    <a:ln w="9525">
                      <a:noFill/>
                    </a:ln>
                  </pic:spPr>
                </pic:pic>
              </a:graphicData>
            </a:graphic>
          </wp:inline>
        </w:drawing>
      </w:r>
    </w:p>
    <w:p w14:paraId="446F3474">
      <w:pPr>
        <w:pStyle w:val="3"/>
      </w:pPr>
      <w:r>
        <w:drawing>
          <wp:inline distT="0" distB="0" distL="114300" distR="114300">
            <wp:extent cx="5334000" cy="3099435"/>
            <wp:effectExtent l="0" t="0" r="0" b="0"/>
            <wp:docPr id="17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descr="descript"/>
                    <pic:cNvPicPr>
                      <a:picLocks noChangeAspect="1" noChangeArrowheads="1"/>
                    </pic:cNvPicPr>
                  </pic:nvPicPr>
                  <pic:blipFill>
                    <a:blip r:embed="rId49"/>
                    <a:stretch>
                      <a:fillRect/>
                    </a:stretch>
                  </pic:blipFill>
                  <pic:spPr>
                    <a:xfrm>
                      <a:off x="0" y="0"/>
                      <a:ext cx="5334000" cy="3099646"/>
                    </a:xfrm>
                    <a:prstGeom prst="rect">
                      <a:avLst/>
                    </a:prstGeom>
                    <a:noFill/>
                    <a:ln w="9525">
                      <a:noFill/>
                    </a:ln>
                  </pic:spPr>
                </pic:pic>
              </a:graphicData>
            </a:graphic>
          </wp:inline>
        </w:drawing>
      </w:r>
    </w:p>
    <w:p w14:paraId="17A99C3D">
      <w:pPr>
        <w:pStyle w:val="3"/>
      </w:pPr>
      <w:r>
        <w:rPr>
          <w:rFonts w:hint="eastAsia"/>
          <w:b/>
          <w:bCs/>
        </w:rPr>
        <w:t>效果：</w:t>
      </w:r>
    </w:p>
    <w:p w14:paraId="11204728">
      <w:pPr>
        <w:pStyle w:val="3"/>
      </w:pPr>
      <w:r>
        <w:drawing>
          <wp:inline distT="0" distB="0" distL="114300" distR="114300">
            <wp:extent cx="5334000" cy="1102995"/>
            <wp:effectExtent l="0" t="0" r="0" b="0"/>
            <wp:docPr id="177"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descr="descript"/>
                    <pic:cNvPicPr>
                      <a:picLocks noChangeAspect="1" noChangeArrowheads="1"/>
                    </pic:cNvPicPr>
                  </pic:nvPicPr>
                  <pic:blipFill>
                    <a:blip r:embed="rId50"/>
                    <a:stretch>
                      <a:fillRect/>
                    </a:stretch>
                  </pic:blipFill>
                  <pic:spPr>
                    <a:xfrm>
                      <a:off x="0" y="0"/>
                      <a:ext cx="5334000" cy="1103323"/>
                    </a:xfrm>
                    <a:prstGeom prst="rect">
                      <a:avLst/>
                    </a:prstGeom>
                    <a:noFill/>
                    <a:ln w="9525">
                      <a:noFill/>
                    </a:ln>
                  </pic:spPr>
                </pic:pic>
              </a:graphicData>
            </a:graphic>
          </wp:inline>
        </w:drawing>
      </w:r>
    </w:p>
    <w:p w14:paraId="6285AF32">
      <w:pPr>
        <w:pStyle w:val="3"/>
      </w:pPr>
      <w:r>
        <w:drawing>
          <wp:inline distT="0" distB="0" distL="114300" distR="114300">
            <wp:extent cx="5334000" cy="5057775"/>
            <wp:effectExtent l="0" t="0" r="0" b="0"/>
            <wp:docPr id="180"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descr="descript"/>
                    <pic:cNvPicPr>
                      <a:picLocks noChangeAspect="1" noChangeArrowheads="1"/>
                    </pic:cNvPicPr>
                  </pic:nvPicPr>
                  <pic:blipFill>
                    <a:blip r:embed="rId51"/>
                    <a:stretch>
                      <a:fillRect/>
                    </a:stretch>
                  </pic:blipFill>
                  <pic:spPr>
                    <a:xfrm>
                      <a:off x="0" y="0"/>
                      <a:ext cx="5334000" cy="5057805"/>
                    </a:xfrm>
                    <a:prstGeom prst="rect">
                      <a:avLst/>
                    </a:prstGeom>
                    <a:noFill/>
                    <a:ln w="9525">
                      <a:noFill/>
                    </a:ln>
                  </pic:spPr>
                </pic:pic>
              </a:graphicData>
            </a:graphic>
          </wp:inline>
        </w:drawing>
      </w:r>
    </w:p>
    <w:bookmarkEnd w:id="43"/>
    <w:p w14:paraId="70C220F8">
      <w:pPr>
        <w:pStyle w:val="4"/>
      </w:pPr>
      <w:bookmarkStart w:id="44" w:name="_Toc10972"/>
      <w:bookmarkStart w:id="45" w:name="浮动手续费控件相关的多项改进"/>
      <w:r>
        <w:rPr>
          <w:rFonts w:hint="eastAsia"/>
        </w:rPr>
        <w:t>浮动手续费控件相关的多项改进</w:t>
      </w:r>
      <w:bookmarkEnd w:id="44"/>
    </w:p>
    <w:p w14:paraId="6046A2A9">
      <w:pPr>
        <w:pStyle w:val="24"/>
      </w:pPr>
      <w:r>
        <w:rPr>
          <w:rFonts w:hint="eastAsia"/>
        </w:rPr>
        <w:t>手续费控件支持一键调平。当发现由调高的品种和合约时，允许一键将调高的以单一设置的方式调平。</w:t>
      </w:r>
    </w:p>
    <w:p w14:paraId="70A15030">
      <w:pPr>
        <w:pStyle w:val="3"/>
      </w:pPr>
      <w:r>
        <w:rPr>
          <w:rFonts w:hint="eastAsia"/>
        </w:rPr>
        <w:t>手续费计算开仓净留存时将软件费也考虑进来</w:t>
      </w:r>
    </w:p>
    <w:p w14:paraId="1DA28C83">
      <w:pPr>
        <w:pStyle w:val="3"/>
      </w:pPr>
      <w:r>
        <w:rPr>
          <w:rFonts w:hint="eastAsia"/>
        </w:rPr>
        <w:t>手续费查询带有效期判断</w:t>
      </w:r>
    </w:p>
    <w:p w14:paraId="1A5C2C20">
      <w:pPr>
        <w:pStyle w:val="3"/>
      </w:pPr>
      <w:r>
        <w:rPr>
          <w:rFonts w:hint="eastAsia"/>
        </w:rPr>
        <w:t>手续费控件展示新增合约名称</w:t>
      </w:r>
    </w:p>
    <w:p w14:paraId="59BA75E0">
      <w:pPr>
        <w:pStyle w:val="3"/>
      </w:pPr>
      <w:r>
        <w:rPr>
          <w:rFonts w:hint="eastAsia"/>
        </w:rPr>
        <w:t>支持将手续费模板推送到CTP。客户仅调整手续费模板这种情况可以直推CTP；单一设置后面也会随CTP新接口同步支持。</w:t>
      </w:r>
    </w:p>
    <w:p w14:paraId="11804B27">
      <w:pPr>
        <w:pStyle w:val="3"/>
      </w:pPr>
      <w:r>
        <w:rPr>
          <w:rFonts w:hint="eastAsia"/>
        </w:rPr>
        <w:t>添加功能手续费相关黑名单设置。支持针对全部客户的和针对指定客户。</w:t>
      </w:r>
    </w:p>
    <w:p w14:paraId="68B194CF">
      <w:pPr>
        <w:pStyle w:val="3"/>
      </w:pPr>
      <w:r>
        <w:drawing>
          <wp:inline distT="0" distB="0" distL="114300" distR="114300">
            <wp:extent cx="5334000" cy="2547620"/>
            <wp:effectExtent l="0" t="0" r="0" b="0"/>
            <wp:docPr id="184"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descr="descript"/>
                    <pic:cNvPicPr>
                      <a:picLocks noChangeAspect="1" noChangeArrowheads="1"/>
                    </pic:cNvPicPr>
                  </pic:nvPicPr>
                  <pic:blipFill>
                    <a:blip r:embed="rId52"/>
                    <a:stretch>
                      <a:fillRect/>
                    </a:stretch>
                  </pic:blipFill>
                  <pic:spPr>
                    <a:xfrm>
                      <a:off x="0" y="0"/>
                      <a:ext cx="5334000" cy="2548159"/>
                    </a:xfrm>
                    <a:prstGeom prst="rect">
                      <a:avLst/>
                    </a:prstGeom>
                    <a:noFill/>
                    <a:ln w="9525">
                      <a:noFill/>
                    </a:ln>
                  </pic:spPr>
                </pic:pic>
              </a:graphicData>
            </a:graphic>
          </wp:inline>
        </w:drawing>
      </w:r>
    </w:p>
    <w:bookmarkEnd w:id="45"/>
    <w:p w14:paraId="08D3456C">
      <w:pPr>
        <w:pStyle w:val="4"/>
      </w:pPr>
      <w:bookmarkStart w:id="46" w:name="_Toc9929"/>
      <w:bookmarkStart w:id="47" w:name="影像归档时也支持流程接龙"/>
      <w:r>
        <w:rPr>
          <w:rFonts w:hint="eastAsia"/>
        </w:rPr>
        <w:t>影像归档时也支持流程接龙</w:t>
      </w:r>
      <w:bookmarkEnd w:id="46"/>
    </w:p>
    <w:p w14:paraId="4465E194">
      <w:pPr>
        <w:pStyle w:val="24"/>
      </w:pPr>
      <w:r>
        <w:rPr>
          <w:rFonts w:hint="eastAsia"/>
        </w:rPr>
        <w:t>对指定系统指定业务的归档动作，配置自动发起的后续流程。</w:t>
      </w:r>
    </w:p>
    <w:p w14:paraId="71134BBB">
      <w:pPr>
        <w:pStyle w:val="3"/>
      </w:pPr>
      <w:r>
        <w:drawing>
          <wp:inline distT="0" distB="0" distL="114300" distR="114300">
            <wp:extent cx="5334000" cy="2096770"/>
            <wp:effectExtent l="0" t="0" r="0" b="0"/>
            <wp:docPr id="188"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descr="descript"/>
                    <pic:cNvPicPr>
                      <a:picLocks noChangeAspect="1" noChangeArrowheads="1"/>
                    </pic:cNvPicPr>
                  </pic:nvPicPr>
                  <pic:blipFill>
                    <a:blip r:embed="rId53"/>
                    <a:stretch>
                      <a:fillRect/>
                    </a:stretch>
                  </pic:blipFill>
                  <pic:spPr>
                    <a:xfrm>
                      <a:off x="0" y="0"/>
                      <a:ext cx="5334000" cy="2096911"/>
                    </a:xfrm>
                    <a:prstGeom prst="rect">
                      <a:avLst/>
                    </a:prstGeom>
                    <a:noFill/>
                    <a:ln w="9525">
                      <a:noFill/>
                    </a:ln>
                  </pic:spPr>
                </pic:pic>
              </a:graphicData>
            </a:graphic>
          </wp:inline>
        </w:drawing>
      </w:r>
    </w:p>
    <w:p w14:paraId="08636755">
      <w:pPr>
        <w:pStyle w:val="3"/>
      </w:pPr>
      <w:r>
        <w:drawing>
          <wp:inline distT="0" distB="0" distL="114300" distR="114300">
            <wp:extent cx="5334000" cy="3013075"/>
            <wp:effectExtent l="0" t="0" r="0" b="0"/>
            <wp:docPr id="191" name="Picture"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descr="descript"/>
                    <pic:cNvPicPr>
                      <a:picLocks noChangeAspect="1" noChangeArrowheads="1"/>
                    </pic:cNvPicPr>
                  </pic:nvPicPr>
                  <pic:blipFill>
                    <a:blip r:embed="rId54"/>
                    <a:stretch>
                      <a:fillRect/>
                    </a:stretch>
                  </pic:blipFill>
                  <pic:spPr>
                    <a:xfrm>
                      <a:off x="0" y="0"/>
                      <a:ext cx="5334000" cy="3013428"/>
                    </a:xfrm>
                    <a:prstGeom prst="rect">
                      <a:avLst/>
                    </a:prstGeom>
                    <a:noFill/>
                    <a:ln w="9525">
                      <a:noFill/>
                    </a:ln>
                  </pic:spPr>
                </pic:pic>
              </a:graphicData>
            </a:graphic>
          </wp:inline>
        </w:drawing>
      </w:r>
    </w:p>
    <w:bookmarkEnd w:id="47"/>
    <w:p w14:paraId="78A88CCB">
      <w:pPr>
        <w:pStyle w:val="4"/>
      </w:pPr>
      <w:bookmarkStart w:id="48" w:name="_Toc17329"/>
      <w:bookmarkStart w:id="49" w:name="移动端支持"/>
      <w:r>
        <w:rPr>
          <w:rFonts w:hint="eastAsia"/>
        </w:rPr>
        <w:t>移动端支持</w:t>
      </w:r>
      <w:bookmarkEnd w:id="48"/>
    </w:p>
    <w:p w14:paraId="720A0DBC">
      <w:pPr>
        <w:pStyle w:val="24"/>
      </w:pPr>
      <w:r>
        <w:rPr>
          <w:rFonts w:hint="eastAsia"/>
        </w:rPr>
        <w:t>支持H5版本。在支持小程序的基础再支持了H5版本，H5版本可以满足企微应用也走VPN的场景。</w:t>
      </w:r>
    </w:p>
    <w:tbl>
      <w:tblPr>
        <w:tblStyle w:val="42"/>
        <w:tblW w:w="4941" w:type="pct"/>
        <w:tblInd w:w="0" w:type="dxa"/>
        <w:tblLayout w:type="fixed"/>
        <w:tblCellMar>
          <w:top w:w="0" w:type="dxa"/>
          <w:left w:w="108" w:type="dxa"/>
          <w:bottom w:w="0" w:type="dxa"/>
          <w:right w:w="108" w:type="dxa"/>
        </w:tblCellMar>
      </w:tblPr>
      <w:tblGrid>
        <w:gridCol w:w="4376"/>
        <w:gridCol w:w="4376"/>
      </w:tblGrid>
      <w:tr w14:paraId="3EEF09E9">
        <w:tblPrEx>
          <w:tblCellMar>
            <w:top w:w="0" w:type="dxa"/>
            <w:left w:w="108" w:type="dxa"/>
            <w:bottom w:w="0" w:type="dxa"/>
            <w:right w:w="108" w:type="dxa"/>
          </w:tblCellMar>
        </w:tblPrEx>
        <w:tc>
          <w:p w14:paraId="66609E7D">
            <w:pPr>
              <w:pStyle w:val="25"/>
              <w:jc w:val="left"/>
            </w:pPr>
            <w:r>
              <w:t>descript](./oa-up-media-20241229/media/image51.png){width=11.67cm} descript](./oa-up-media-20241229/media/image52.png){width=11.67cm}</w:t>
            </w:r>
          </w:p>
        </w:tc>
        <w:tc>
          <w:p w14:paraId="46BE6888">
            <w:pPr>
              <w:pStyle w:val="25"/>
            </w:pPr>
          </w:p>
        </w:tc>
      </w:tr>
      <w:bookmarkEnd w:id="49"/>
    </w:tbl>
    <w:p w14:paraId="6D4D7E09"/>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20B0004020202020204"/>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splitPgBreakAndParaMark/>
    <w:compatSetting w:name="compatibilityMode" w:uri="http://schemas.microsoft.com/office/word" w:val="12"/>
  </w:compat>
  <w:rsids>
    <w:rsidRoot w:val="00000000"/>
    <w:rsid w:val="355117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link w:val="32"/>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3"/>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4"/>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5"/>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6"/>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7"/>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38"/>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39"/>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0"/>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0">
    <w:name w:val="Default Paragraph Font"/>
    <w:semiHidden/>
    <w:unhideWhenUsed/>
    <w:qFormat/>
    <w:uiPriority w:val="0"/>
  </w:style>
  <w:style w:type="table" w:default="1" w:styleId="19">
    <w:name w:val="Normal Table"/>
    <w:uiPriority w:val="0"/>
    <w:tblPr>
      <w:tblCellMar>
        <w:top w:w="0" w:type="dxa"/>
        <w:left w:w="108" w:type="dxa"/>
        <w:bottom w:w="0" w:type="dxa"/>
        <w:right w:w="108" w:type="dxa"/>
      </w:tblCellMar>
    </w:tblPr>
  </w:style>
  <w:style w:type="paragraph" w:styleId="3">
    <w:name w:val="Body Text"/>
    <w:basedOn w:val="1"/>
    <w:link w:val="22"/>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basedOn w:val="15"/>
    <w:next w:val="3"/>
    <w:qFormat/>
    <w:uiPriority w:val="0"/>
    <w:pPr>
      <w:keepNext/>
      <w:keepLines/>
    </w:pPr>
    <w:rPr>
      <w:sz w:val="24"/>
      <w:szCs w:val="24"/>
    </w:rPr>
  </w:style>
  <w:style w:type="paragraph" w:styleId="15">
    <w:name w:val="Title"/>
    <w:basedOn w:val="1"/>
    <w:next w:val="3"/>
    <w:link w:val="26"/>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6">
    <w:name w:val="Subtitle"/>
    <w:basedOn w:val="15"/>
    <w:next w:val="3"/>
    <w:link w:val="27"/>
    <w:qFormat/>
    <w:uiPriority w:val="11"/>
    <w:rPr>
      <w:rFonts w:eastAsiaTheme="majorEastAsia" w:cstheme="majorBidi"/>
      <w:spacing w:val="15"/>
      <w:sz w:val="28"/>
      <w:szCs w:val="28"/>
    </w:rPr>
  </w:style>
  <w:style w:type="paragraph" w:styleId="17">
    <w:name w:val="footnote text"/>
    <w:basedOn w:val="1"/>
    <w:unhideWhenUsed/>
    <w:qFormat/>
    <w:uiPriority w:val="9"/>
  </w:style>
  <w:style w:type="paragraph" w:styleId="18">
    <w:name w:val="toc 2"/>
    <w:basedOn w:val="1"/>
    <w:next w:val="1"/>
    <w:uiPriority w:val="0"/>
    <w:pPr>
      <w:ind w:left="420" w:leftChars="200"/>
    </w:pPr>
  </w:style>
  <w:style w:type="character" w:styleId="21">
    <w:name w:val="Hyperlink"/>
    <w:basedOn w:val="22"/>
    <w:qFormat/>
    <w:uiPriority w:val="0"/>
    <w:rPr>
      <w:color w:val="156082" w:themeColor="accent1"/>
    </w:rPr>
  </w:style>
  <w:style w:type="character" w:customStyle="1" w:styleId="22">
    <w:name w:val="Body Text Char"/>
    <w:basedOn w:val="20"/>
    <w:link w:val="3"/>
    <w:qFormat/>
    <w:uiPriority w:val="0"/>
  </w:style>
  <w:style w:type="character" w:styleId="23">
    <w:name w:val="footnote reference"/>
    <w:basedOn w:val="22"/>
    <w:qFormat/>
    <w:uiPriority w:val="0"/>
    <w:rPr>
      <w:vertAlign w:val="superscript"/>
    </w:rPr>
  </w:style>
  <w:style w:type="paragraph" w:customStyle="1" w:styleId="24">
    <w:name w:val="First Paragraph"/>
    <w:basedOn w:val="3"/>
    <w:next w:val="3"/>
    <w:qFormat/>
    <w:uiPriority w:val="0"/>
  </w:style>
  <w:style w:type="paragraph" w:customStyle="1" w:styleId="25">
    <w:name w:val="Compact"/>
    <w:basedOn w:val="3"/>
    <w:qFormat/>
    <w:uiPriority w:val="0"/>
    <w:pPr>
      <w:spacing w:before="36" w:after="36"/>
    </w:pPr>
  </w:style>
  <w:style w:type="character" w:customStyle="1" w:styleId="26">
    <w:name w:val="Title Char"/>
    <w:basedOn w:val="20"/>
    <w:link w:val="15"/>
    <w:uiPriority w:val="10"/>
    <w:rPr>
      <w:rFonts w:asciiTheme="majorHAnsi" w:hAnsiTheme="majorHAnsi" w:eastAsiaTheme="majorEastAsia" w:cstheme="majorBidi"/>
      <w:sz w:val="56"/>
      <w:szCs w:val="56"/>
    </w:rPr>
  </w:style>
  <w:style w:type="character" w:customStyle="1" w:styleId="27">
    <w:name w:val="Subtitle Char"/>
    <w:basedOn w:val="20"/>
    <w:link w:val="16"/>
    <w:uiPriority w:val="11"/>
    <w:rPr>
      <w:rFonts w:eastAsiaTheme="majorEastAsia" w:cstheme="majorBidi"/>
      <w:color w:val="585858" w:themeColor="text1" w:themeTint="A6"/>
      <w:spacing w:val="15"/>
      <w:sz w:val="28"/>
      <w:szCs w:val="28"/>
    </w:rPr>
  </w:style>
  <w:style w:type="paragraph" w:customStyle="1" w:styleId="28">
    <w:name w:val="Author"/>
    <w:basedOn w:val="15"/>
    <w:next w:val="3"/>
    <w:qFormat/>
    <w:uiPriority w:val="0"/>
    <w:pPr>
      <w:keepNext/>
      <w:keepLines/>
    </w:pPr>
    <w:rPr>
      <w:sz w:val="24"/>
      <w:szCs w:val="24"/>
    </w:rPr>
  </w:style>
  <w:style w:type="paragraph" w:customStyle="1" w:styleId="29">
    <w:name w:val="Abstract Title"/>
    <w:basedOn w:val="1"/>
    <w:next w:val="30"/>
    <w:qFormat/>
    <w:uiPriority w:val="0"/>
    <w:pPr>
      <w:keepNext/>
      <w:keepLines/>
      <w:spacing w:before="300" w:after="0"/>
      <w:jc w:val="center"/>
    </w:pPr>
    <w:rPr>
      <w:b/>
      <w:sz w:val="20"/>
      <w:szCs w:val="20"/>
    </w:rPr>
  </w:style>
  <w:style w:type="paragraph" w:customStyle="1" w:styleId="30">
    <w:name w:val="Abstract"/>
    <w:basedOn w:val="1"/>
    <w:next w:val="3"/>
    <w:qFormat/>
    <w:uiPriority w:val="0"/>
    <w:pPr>
      <w:keepNext/>
      <w:keepLines/>
      <w:spacing w:before="100" w:after="300"/>
    </w:pPr>
    <w:rPr>
      <w:sz w:val="20"/>
      <w:szCs w:val="20"/>
    </w:rPr>
  </w:style>
  <w:style w:type="paragraph" w:customStyle="1" w:styleId="31">
    <w:name w:val="Bibliography"/>
    <w:basedOn w:val="1"/>
    <w:qFormat/>
    <w:uiPriority w:val="0"/>
  </w:style>
  <w:style w:type="character" w:customStyle="1" w:styleId="32">
    <w:name w:val="Heading 1 Char"/>
    <w:basedOn w:val="20"/>
    <w:link w:val="2"/>
    <w:qFormat/>
    <w:uiPriority w:val="9"/>
    <w:rPr>
      <w:rFonts w:asciiTheme="majorHAnsi" w:hAnsiTheme="majorHAnsi" w:eastAsiaTheme="majorEastAsia" w:cstheme="majorBidi"/>
      <w:color w:val="0F4761" w:themeColor="accent1" w:themeShade="BF"/>
      <w:sz w:val="40"/>
      <w:szCs w:val="40"/>
    </w:rPr>
  </w:style>
  <w:style w:type="character" w:customStyle="1" w:styleId="33">
    <w:name w:val="Heading 2 Char"/>
    <w:basedOn w:val="20"/>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4">
    <w:name w:val="Heading 3 Char"/>
    <w:basedOn w:val="20"/>
    <w:link w:val="5"/>
    <w:semiHidden/>
    <w:qFormat/>
    <w:uiPriority w:val="9"/>
    <w:rPr>
      <w:rFonts w:eastAsiaTheme="majorEastAsia" w:cstheme="majorBidi"/>
      <w:color w:val="0F4761" w:themeColor="accent1" w:themeShade="BF"/>
      <w:sz w:val="28"/>
      <w:szCs w:val="28"/>
    </w:rPr>
  </w:style>
  <w:style w:type="character" w:customStyle="1" w:styleId="35">
    <w:name w:val="Heading 4 Char"/>
    <w:basedOn w:val="20"/>
    <w:link w:val="6"/>
    <w:semiHidden/>
    <w:qFormat/>
    <w:uiPriority w:val="9"/>
    <w:rPr>
      <w:rFonts w:eastAsiaTheme="majorEastAsia" w:cstheme="majorBidi"/>
      <w:i/>
      <w:iCs/>
      <w:color w:val="0F4761" w:themeColor="accent1" w:themeShade="BF"/>
    </w:rPr>
  </w:style>
  <w:style w:type="character" w:customStyle="1" w:styleId="36">
    <w:name w:val="Heading 5 Char"/>
    <w:basedOn w:val="20"/>
    <w:link w:val="7"/>
    <w:semiHidden/>
    <w:qFormat/>
    <w:uiPriority w:val="9"/>
    <w:rPr>
      <w:rFonts w:eastAsiaTheme="majorEastAsia" w:cstheme="majorBidi"/>
      <w:color w:val="0F4761" w:themeColor="accent1" w:themeShade="BF"/>
    </w:rPr>
  </w:style>
  <w:style w:type="character" w:customStyle="1" w:styleId="37">
    <w:name w:val="Heading 6 Char"/>
    <w:basedOn w:val="20"/>
    <w:link w:val="8"/>
    <w:semiHidden/>
    <w:qFormat/>
    <w:uiPriority w:val="9"/>
    <w:rPr>
      <w:rFonts w:eastAsiaTheme="majorEastAsia" w:cstheme="majorBidi"/>
      <w:i/>
      <w:iCs/>
      <w:color w:val="585858" w:themeColor="text1" w:themeTint="A6"/>
    </w:rPr>
  </w:style>
  <w:style w:type="character" w:customStyle="1" w:styleId="38">
    <w:name w:val="Heading 7 Char"/>
    <w:basedOn w:val="20"/>
    <w:link w:val="9"/>
    <w:semiHidden/>
    <w:qFormat/>
    <w:uiPriority w:val="9"/>
    <w:rPr>
      <w:rFonts w:eastAsiaTheme="majorEastAsia" w:cstheme="majorBidi"/>
      <w:color w:val="585858" w:themeColor="text1" w:themeTint="A6"/>
    </w:rPr>
  </w:style>
  <w:style w:type="character" w:customStyle="1" w:styleId="39">
    <w:name w:val="Heading 8 Char"/>
    <w:basedOn w:val="20"/>
    <w:link w:val="10"/>
    <w:semiHidden/>
    <w:qFormat/>
    <w:uiPriority w:val="9"/>
    <w:rPr>
      <w:rFonts w:eastAsiaTheme="majorEastAsia" w:cstheme="majorBidi"/>
      <w:i/>
      <w:iCs/>
      <w:color w:val="262626" w:themeColor="text1" w:themeTint="D8"/>
    </w:rPr>
  </w:style>
  <w:style w:type="character" w:customStyle="1" w:styleId="40">
    <w:name w:val="Heading 9 Char"/>
    <w:basedOn w:val="20"/>
    <w:link w:val="11"/>
    <w:semiHidden/>
    <w:qFormat/>
    <w:uiPriority w:val="9"/>
    <w:rPr>
      <w:rFonts w:eastAsiaTheme="majorEastAsia" w:cstheme="majorBidi"/>
      <w:color w:val="262626" w:themeColor="text1" w:themeTint="D8"/>
    </w:rPr>
  </w:style>
  <w:style w:type="paragraph" w:customStyle="1" w:styleId="41">
    <w:name w:val="Footnote Block Text"/>
    <w:basedOn w:val="17"/>
    <w:next w:val="17"/>
    <w:unhideWhenUsed/>
    <w:qFormat/>
    <w:uiPriority w:val="9"/>
    <w:pPr>
      <w:spacing w:before="100" w:after="100"/>
      <w:ind w:left="480" w:right="480" w:firstLine="0"/>
    </w:pPr>
  </w:style>
  <w:style w:type="table" w:customStyle="1" w:styleId="42">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43">
    <w:name w:val="Definition Term"/>
    <w:basedOn w:val="1"/>
    <w:next w:val="44"/>
    <w:qFormat/>
    <w:uiPriority w:val="0"/>
    <w:pPr>
      <w:keepNext/>
      <w:keepLines/>
      <w:spacing w:after="0"/>
    </w:pPr>
    <w:rPr>
      <w:b/>
    </w:rPr>
  </w:style>
  <w:style w:type="paragraph" w:customStyle="1" w:styleId="44">
    <w:name w:val="Definition"/>
    <w:basedOn w:val="1"/>
    <w:qFormat/>
    <w:uiPriority w:val="0"/>
  </w:style>
  <w:style w:type="paragraph" w:customStyle="1" w:styleId="45">
    <w:name w:val="Table Caption"/>
    <w:basedOn w:val="12"/>
    <w:uiPriority w:val="0"/>
    <w:pPr>
      <w:keepNext/>
    </w:pPr>
  </w:style>
  <w:style w:type="paragraph" w:customStyle="1" w:styleId="46">
    <w:name w:val="Image Caption"/>
    <w:basedOn w:val="12"/>
    <w:qFormat/>
    <w:uiPriority w:val="0"/>
  </w:style>
  <w:style w:type="paragraph" w:customStyle="1" w:styleId="47">
    <w:name w:val="Figure"/>
    <w:basedOn w:val="1"/>
    <w:uiPriority w:val="0"/>
  </w:style>
  <w:style w:type="paragraph" w:customStyle="1" w:styleId="48">
    <w:name w:val="Captioned Figure"/>
    <w:basedOn w:val="47"/>
    <w:qFormat/>
    <w:uiPriority w:val="0"/>
    <w:pPr>
      <w:keepNext/>
    </w:pPr>
  </w:style>
  <w:style w:type="character" w:customStyle="1" w:styleId="49">
    <w:name w:val="Verbatim Char"/>
    <w:basedOn w:val="22"/>
    <w:link w:val="50"/>
    <w:qFormat/>
    <w:uiPriority w:val="0"/>
    <w:rPr>
      <w:rFonts w:ascii="Consolas" w:hAnsi="Consolas"/>
      <w:sz w:val="22"/>
    </w:rPr>
  </w:style>
  <w:style w:type="paragraph" w:customStyle="1" w:styleId="50">
    <w:name w:val="Source Code"/>
    <w:basedOn w:val="1"/>
    <w:link w:val="49"/>
    <w:qFormat/>
    <w:uiPriority w:val="0"/>
    <w:pPr>
      <w:wordWrap w:val="0"/>
    </w:pPr>
  </w:style>
  <w:style w:type="character" w:customStyle="1" w:styleId="51">
    <w:name w:val="Section Number"/>
    <w:basedOn w:val="22"/>
    <w:qFormat/>
    <w:uiPriority w:val="0"/>
  </w:style>
  <w:style w:type="paragraph" w:customStyle="1" w:styleId="52">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3">
    <w:name w:val="KeywordTok"/>
    <w:basedOn w:val="49"/>
    <w:qFormat/>
    <w:uiPriority w:val="0"/>
    <w:rPr>
      <w:b/>
      <w:color w:val="007020"/>
    </w:rPr>
  </w:style>
  <w:style w:type="character" w:customStyle="1" w:styleId="54">
    <w:name w:val="DataTypeTok"/>
    <w:basedOn w:val="49"/>
    <w:qFormat/>
    <w:uiPriority w:val="0"/>
    <w:rPr>
      <w:color w:val="902000"/>
    </w:rPr>
  </w:style>
  <w:style w:type="character" w:customStyle="1" w:styleId="55">
    <w:name w:val="DecValTok"/>
    <w:basedOn w:val="49"/>
    <w:qFormat/>
    <w:uiPriority w:val="0"/>
    <w:rPr>
      <w:color w:val="40A070"/>
    </w:rPr>
  </w:style>
  <w:style w:type="character" w:customStyle="1" w:styleId="56">
    <w:name w:val="BaseNTok"/>
    <w:basedOn w:val="49"/>
    <w:qFormat/>
    <w:uiPriority w:val="0"/>
    <w:rPr>
      <w:color w:val="40A070"/>
    </w:rPr>
  </w:style>
  <w:style w:type="character" w:customStyle="1" w:styleId="57">
    <w:name w:val="FloatTok"/>
    <w:basedOn w:val="49"/>
    <w:qFormat/>
    <w:uiPriority w:val="0"/>
    <w:rPr>
      <w:color w:val="40A070"/>
    </w:rPr>
  </w:style>
  <w:style w:type="character" w:customStyle="1" w:styleId="58">
    <w:name w:val="ConstantTok"/>
    <w:basedOn w:val="49"/>
    <w:qFormat/>
    <w:uiPriority w:val="0"/>
    <w:rPr>
      <w:color w:val="880000"/>
    </w:rPr>
  </w:style>
  <w:style w:type="character" w:customStyle="1" w:styleId="59">
    <w:name w:val="CharTok"/>
    <w:basedOn w:val="49"/>
    <w:qFormat/>
    <w:uiPriority w:val="0"/>
    <w:rPr>
      <w:color w:val="4070A0"/>
    </w:rPr>
  </w:style>
  <w:style w:type="character" w:customStyle="1" w:styleId="60">
    <w:name w:val="SpecialCharTok"/>
    <w:basedOn w:val="49"/>
    <w:qFormat/>
    <w:uiPriority w:val="0"/>
    <w:rPr>
      <w:color w:val="4070A0"/>
    </w:rPr>
  </w:style>
  <w:style w:type="character" w:customStyle="1" w:styleId="61">
    <w:name w:val="StringTok"/>
    <w:basedOn w:val="49"/>
    <w:qFormat/>
    <w:uiPriority w:val="0"/>
    <w:rPr>
      <w:color w:val="4070A0"/>
    </w:rPr>
  </w:style>
  <w:style w:type="character" w:customStyle="1" w:styleId="62">
    <w:name w:val="VerbatimStringTok"/>
    <w:basedOn w:val="49"/>
    <w:qFormat/>
    <w:uiPriority w:val="0"/>
    <w:rPr>
      <w:color w:val="4070A0"/>
    </w:rPr>
  </w:style>
  <w:style w:type="character" w:customStyle="1" w:styleId="63">
    <w:name w:val="SpecialStringTok"/>
    <w:basedOn w:val="49"/>
    <w:qFormat/>
    <w:uiPriority w:val="0"/>
    <w:rPr>
      <w:color w:val="BB6688"/>
    </w:rPr>
  </w:style>
  <w:style w:type="character" w:customStyle="1" w:styleId="64">
    <w:name w:val="ImportTok"/>
    <w:basedOn w:val="49"/>
    <w:uiPriority w:val="0"/>
    <w:rPr>
      <w:b/>
      <w:color w:val="008000"/>
    </w:rPr>
  </w:style>
  <w:style w:type="character" w:customStyle="1" w:styleId="65">
    <w:name w:val="CommentTok"/>
    <w:basedOn w:val="49"/>
    <w:uiPriority w:val="0"/>
    <w:rPr>
      <w:i/>
      <w:color w:val="60A0B0"/>
    </w:rPr>
  </w:style>
  <w:style w:type="character" w:customStyle="1" w:styleId="66">
    <w:name w:val="DocumentationTok"/>
    <w:basedOn w:val="49"/>
    <w:uiPriority w:val="0"/>
    <w:rPr>
      <w:i/>
      <w:color w:val="BA2121"/>
    </w:rPr>
  </w:style>
  <w:style w:type="character" w:customStyle="1" w:styleId="67">
    <w:name w:val="AnnotationTok"/>
    <w:basedOn w:val="49"/>
    <w:qFormat/>
    <w:uiPriority w:val="0"/>
    <w:rPr>
      <w:b/>
      <w:i/>
      <w:color w:val="60A0B0"/>
    </w:rPr>
  </w:style>
  <w:style w:type="character" w:customStyle="1" w:styleId="68">
    <w:name w:val="CommentVarTok"/>
    <w:basedOn w:val="49"/>
    <w:uiPriority w:val="0"/>
    <w:rPr>
      <w:b/>
      <w:i/>
      <w:color w:val="60A0B0"/>
    </w:rPr>
  </w:style>
  <w:style w:type="character" w:customStyle="1" w:styleId="69">
    <w:name w:val="OtherTok"/>
    <w:basedOn w:val="49"/>
    <w:qFormat/>
    <w:uiPriority w:val="0"/>
    <w:rPr>
      <w:color w:val="007020"/>
    </w:rPr>
  </w:style>
  <w:style w:type="character" w:customStyle="1" w:styleId="70">
    <w:name w:val="FunctionTok"/>
    <w:basedOn w:val="49"/>
    <w:qFormat/>
    <w:uiPriority w:val="0"/>
    <w:rPr>
      <w:color w:val="06287E"/>
    </w:rPr>
  </w:style>
  <w:style w:type="character" w:customStyle="1" w:styleId="71">
    <w:name w:val="VariableTok"/>
    <w:basedOn w:val="49"/>
    <w:uiPriority w:val="0"/>
    <w:rPr>
      <w:color w:val="19177C"/>
    </w:rPr>
  </w:style>
  <w:style w:type="character" w:customStyle="1" w:styleId="72">
    <w:name w:val="ControlFlowTok"/>
    <w:basedOn w:val="49"/>
    <w:uiPriority w:val="0"/>
    <w:rPr>
      <w:b/>
      <w:color w:val="007020"/>
    </w:rPr>
  </w:style>
  <w:style w:type="character" w:customStyle="1" w:styleId="73">
    <w:name w:val="OperatorTok"/>
    <w:basedOn w:val="49"/>
    <w:qFormat/>
    <w:uiPriority w:val="0"/>
    <w:rPr>
      <w:color w:val="666666"/>
    </w:rPr>
  </w:style>
  <w:style w:type="character" w:customStyle="1" w:styleId="74">
    <w:name w:val="BuiltInTok"/>
    <w:basedOn w:val="49"/>
    <w:uiPriority w:val="0"/>
    <w:rPr>
      <w:color w:val="008000"/>
    </w:rPr>
  </w:style>
  <w:style w:type="character" w:customStyle="1" w:styleId="75">
    <w:name w:val="ExtensionTok"/>
    <w:basedOn w:val="49"/>
    <w:uiPriority w:val="0"/>
  </w:style>
  <w:style w:type="character" w:customStyle="1" w:styleId="76">
    <w:name w:val="PreprocessorTok"/>
    <w:basedOn w:val="49"/>
    <w:qFormat/>
    <w:uiPriority w:val="0"/>
    <w:rPr>
      <w:color w:val="BC7A00"/>
    </w:rPr>
  </w:style>
  <w:style w:type="character" w:customStyle="1" w:styleId="77">
    <w:name w:val="AttributeTok"/>
    <w:basedOn w:val="49"/>
    <w:qFormat/>
    <w:uiPriority w:val="0"/>
    <w:rPr>
      <w:color w:val="7D9029"/>
    </w:rPr>
  </w:style>
  <w:style w:type="character" w:customStyle="1" w:styleId="78">
    <w:name w:val="RegionMarkerTok"/>
    <w:basedOn w:val="49"/>
    <w:uiPriority w:val="0"/>
  </w:style>
  <w:style w:type="character" w:customStyle="1" w:styleId="79">
    <w:name w:val="InformationTok"/>
    <w:basedOn w:val="49"/>
    <w:qFormat/>
    <w:uiPriority w:val="0"/>
    <w:rPr>
      <w:b/>
      <w:i/>
      <w:color w:val="60A0B0"/>
    </w:rPr>
  </w:style>
  <w:style w:type="character" w:customStyle="1" w:styleId="80">
    <w:name w:val="WarningTok"/>
    <w:basedOn w:val="49"/>
    <w:qFormat/>
    <w:uiPriority w:val="0"/>
    <w:rPr>
      <w:b/>
      <w:i/>
      <w:color w:val="60A0B0"/>
    </w:rPr>
  </w:style>
  <w:style w:type="character" w:customStyle="1" w:styleId="81">
    <w:name w:val="AlertTok"/>
    <w:basedOn w:val="49"/>
    <w:qFormat/>
    <w:uiPriority w:val="0"/>
    <w:rPr>
      <w:b/>
      <w:color w:val="FF0000"/>
    </w:rPr>
  </w:style>
  <w:style w:type="character" w:customStyle="1" w:styleId="82">
    <w:name w:val="ErrorTok"/>
    <w:basedOn w:val="49"/>
    <w:qFormat/>
    <w:uiPriority w:val="0"/>
    <w:rPr>
      <w:b/>
      <w:color w:val="FF0000"/>
    </w:rPr>
  </w:style>
  <w:style w:type="character" w:customStyle="1" w:styleId="83">
    <w:name w:val="NormalTok"/>
    <w:basedOn w:val="4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notes" Target="footnotes.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83</Words>
  <Characters>475</Characters>
  <Lines>12</Lines>
  <Paragraphs>8</Paragraphs>
  <TotalTime>0</TotalTime>
  <ScaleCrop>false</ScaleCrop>
  <LinksUpToDate>false</LinksUpToDate>
  <CharactersWithSpaces>583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2026-07-08T05:22:00Z</dcterms:created>
  <dc:creator>AI自强大叔</dc:creator>
  <cp:lastModifiedBy>AI自强大叔</cp:lastModifiedBy>
  <dcterms:modified xsi:type="dcterms:W3CDTF">2026-07-08T05:22:11Z</dcterms:modified>
  <dc:title>更新内容_v1.20241229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目录</vt:lpwstr>
  </property>
  <property fmtid="{D5CDD505-2E9C-101B-9397-08002B2CF9AE}" pid="3" name="KSOProductBuildVer">
    <vt:lpwstr>2052-12.1.0.26895</vt:lpwstr>
  </property>
  <property fmtid="{D5CDD505-2E9C-101B-9397-08002B2CF9AE}" pid="4" name="ICV">
    <vt:lpwstr>0FE825659EFA471DA62DA2DD39E2F339_12</vt:lpwstr>
  </property>
</Properties>
</file>