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70DBF">
      <w:pPr>
        <w:pStyle w:val="15"/>
      </w:pPr>
      <w:bookmarkStart w:id="22" w:name="_GoBack"/>
      <w:bookmarkEnd w:id="22"/>
      <w:r>
        <w:rPr>
          <w:rFonts w:hint="eastAsia"/>
        </w:rPr>
        <w:t>更新内容_v1.20230331</w:t>
      </w:r>
    </w:p>
    <w:sdt>
      <w:sdtPr>
        <w:id w:val="147480649"/>
        <w:docPartObj>
          <w:docPartGallery w:val="Table of Contents"/>
          <w:docPartUnique/>
        </w:docPartObj>
      </w:sdtPr>
      <w:sdtContent>
        <w:p w14:paraId="37D7C50D">
          <w:pPr>
            <w:pStyle w:val="52"/>
          </w:pPr>
          <w:r>
            <w:rPr>
              <w:rFonts w:hint="eastAsia"/>
            </w:rPr>
            <w:t>目录</w:t>
          </w:r>
        </w:p>
        <w:p w14:paraId="62AD6A0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_Toc5610 </w:instrText>
          </w:r>
          <w:r>
            <w:fldChar w:fldCharType="separate"/>
          </w:r>
          <w:r>
            <w:rPr>
              <w:rFonts w:hint="eastAsia"/>
            </w:rPr>
            <w:t>1、【我的待办】增加备注功能</w:t>
          </w:r>
          <w:r>
            <w:tab/>
          </w:r>
          <w:r>
            <w:fldChar w:fldCharType="begin"/>
          </w:r>
          <w:r>
            <w:instrText xml:space="preserve"> PAGEREF _Toc5610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5AC90DF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_Toc32522 </w:instrText>
          </w:r>
          <w:r>
            <w:fldChar w:fldCharType="separate"/>
          </w:r>
          <w:r>
            <w:rPr>
              <w:rFonts w:hint="eastAsia"/>
            </w:rPr>
            <w:t>2、【流程详情】中显示客户的统一信用代码</w:t>
          </w:r>
          <w:r>
            <w:tab/>
          </w:r>
          <w:r>
            <w:fldChar w:fldCharType="begin"/>
          </w:r>
          <w:r>
            <w:instrText xml:space="preserve"> PAGEREF _Toc32522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A90800A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_Toc17843 </w:instrText>
          </w:r>
          <w:r>
            <w:fldChar w:fldCharType="separate"/>
          </w:r>
          <w:r>
            <w:rPr>
              <w:rFonts w:hint="eastAsia"/>
            </w:rPr>
            <w:t>3、【我的待办】增加批量终止功能</w:t>
          </w:r>
          <w:r>
            <w:tab/>
          </w:r>
          <w:r>
            <w:fldChar w:fldCharType="begin"/>
          </w:r>
          <w:r>
            <w:instrText xml:space="preserve"> PAGEREF _Toc17843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5E44D6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_Toc15693 </w:instrText>
          </w:r>
          <w:r>
            <w:fldChar w:fldCharType="separate"/>
          </w:r>
          <w:r>
            <w:rPr>
              <w:rFonts w:hint="eastAsia"/>
            </w:rPr>
            <w:t>4、【流程查询】支持固定的权限</w:t>
          </w:r>
          <w:r>
            <w:tab/>
          </w:r>
          <w:r>
            <w:fldChar w:fldCharType="begin"/>
          </w:r>
          <w:r>
            <w:instrText xml:space="preserve"> PAGEREF _Toc15693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DED2A98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_Toc16047 </w:instrText>
          </w:r>
          <w:r>
            <w:fldChar w:fldCharType="separate"/>
          </w:r>
          <w:r>
            <w:rPr>
              <w:rFonts w:hint="eastAsia"/>
            </w:rPr>
            <w:t>5、增加新复合控件：表格控件</w:t>
          </w:r>
          <w:r>
            <w:tab/>
          </w:r>
          <w:r>
            <w:fldChar w:fldCharType="begin"/>
          </w:r>
          <w:r>
            <w:instrText xml:space="preserve"> PAGEREF _Toc16047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FD0E97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_Toc24878 </w:instrText>
          </w:r>
          <w:r>
            <w:fldChar w:fldCharType="separate"/>
          </w:r>
          <w:r>
            <w:rPr>
              <w:rFonts w:hint="eastAsia"/>
            </w:rPr>
            <w:t>6、增加新基础控件：客户多选控件</w:t>
          </w:r>
          <w:r>
            <w:tab/>
          </w:r>
          <w:r>
            <w:fldChar w:fldCharType="begin"/>
          </w:r>
          <w:r>
            <w:instrText xml:space="preserve"> PAGEREF _Toc24878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0D0E36E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_Toc10288 </w:instrText>
          </w:r>
          <w:r>
            <w:fldChar w:fldCharType="separate"/>
          </w:r>
          <w:r>
            <w:rPr>
              <w:rFonts w:hint="eastAsia"/>
            </w:rPr>
            <w:t>7、增加新基础控件：CRM账号多选控件</w:t>
          </w:r>
          <w:r>
            <w:tab/>
          </w:r>
          <w:r>
            <w:fldChar w:fldCharType="begin"/>
          </w:r>
          <w:r>
            <w:instrText xml:space="preserve"> PAGEREF _Toc10288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66FDCCA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_Toc8287 </w:instrText>
          </w:r>
          <w:r>
            <w:fldChar w:fldCharType="separate"/>
          </w:r>
          <w:r>
            <w:rPr>
              <w:rFonts w:hint="eastAsia"/>
            </w:rPr>
            <w:t>8、增加新复合控件：业绩关系控件</w:t>
          </w:r>
          <w:r>
            <w:tab/>
          </w:r>
          <w:r>
            <w:fldChar w:fldCharType="begin"/>
          </w:r>
          <w:r>
            <w:instrText xml:space="preserve"> PAGEREF _Toc8287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823A29C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_Toc1572 </w:instrText>
          </w:r>
          <w:r>
            <w:fldChar w:fldCharType="separate"/>
          </w:r>
          <w:r>
            <w:rPr>
              <w:rFonts w:hint="eastAsia"/>
            </w:rPr>
            <w:t>9、增加新复合控件：软件费用控件</w:t>
          </w:r>
          <w:r>
            <w:tab/>
          </w:r>
          <w:r>
            <w:fldChar w:fldCharType="begin"/>
          </w:r>
          <w:r>
            <w:instrText xml:space="preserve"> PAGEREF _Toc1572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89BB209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_Toc2063 </w:instrText>
          </w:r>
          <w:r>
            <w:fldChar w:fldCharType="separate"/>
          </w:r>
          <w:r>
            <w:rPr>
              <w:rFonts w:hint="eastAsia"/>
            </w:rPr>
            <w:t>10、流程名称可添加说明</w:t>
          </w:r>
          <w:r>
            <w:tab/>
          </w:r>
          <w:r>
            <w:fldChar w:fldCharType="begin"/>
          </w:r>
          <w:r>
            <w:instrText xml:space="preserve"> PAGEREF _Toc2063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0876DE6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_Toc19980 </w:instrText>
          </w:r>
          <w:r>
            <w:fldChar w:fldCharType="separate"/>
          </w:r>
          <w:r>
            <w:rPr>
              <w:rFonts w:hint="eastAsia"/>
            </w:rPr>
            <w:t>11、流程支持发送短信功能</w:t>
          </w:r>
          <w:r>
            <w:tab/>
          </w:r>
          <w:r>
            <w:fldChar w:fldCharType="begin"/>
          </w:r>
          <w:r>
            <w:instrText xml:space="preserve"> PAGEREF _Toc19980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71E9958">
          <w:r>
            <w:fldChar w:fldCharType="end"/>
          </w:r>
        </w:p>
      </w:sdtContent>
    </w:sdt>
    <w:p w14:paraId="31DDC436">
      <w:pPr>
        <w:pStyle w:val="4"/>
      </w:pPr>
      <w:bookmarkStart w:id="0" w:name="_Toc5610"/>
      <w:bookmarkStart w:id="1" w:name="我的待办增加备注功能"/>
      <w:r>
        <w:rPr>
          <w:rFonts w:hint="eastAsia"/>
        </w:rPr>
        <w:t>1、【我的待办】增加备注功能</w:t>
      </w:r>
      <w:bookmarkEnd w:id="0"/>
    </w:p>
    <w:p w14:paraId="10C460BA">
      <w:pPr>
        <w:pStyle w:val="24"/>
      </w:pPr>
      <w:r>
        <w:rPr>
          <w:rFonts w:hint="eastAsia"/>
        </w:rPr>
        <w:t>添加属于待办的备注，能看到待办的人都可以看到备注，待办通过/驳回后备注消失。通常是用来做备忘。</w:t>
      </w:r>
    </w:p>
    <w:p w14:paraId="1E89ABCC">
      <w:pPr>
        <w:pStyle w:val="3"/>
      </w:pPr>
      <w:r>
        <w:drawing>
          <wp:inline distT="0" distB="0" distL="114300" distR="114300">
            <wp:extent cx="5334000" cy="1652905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53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1F3723FF">
      <w:pPr>
        <w:pStyle w:val="4"/>
      </w:pPr>
      <w:bookmarkStart w:id="2" w:name="_Toc32522"/>
      <w:bookmarkStart w:id="3" w:name="流程详情中显示客户的统一信用代码"/>
      <w:r>
        <w:rPr>
          <w:rFonts w:hint="eastAsia"/>
        </w:rPr>
        <w:t>2、【流程详情】中显示客户的统一信用代码</w:t>
      </w:r>
      <w:bookmarkEnd w:id="2"/>
    </w:p>
    <w:p w14:paraId="680A402A">
      <w:pPr>
        <w:pStyle w:val="24"/>
      </w:pPr>
      <w:r>
        <w:rPr>
          <w:rFonts w:hint="eastAsia"/>
        </w:rPr>
        <w:t>除了显示主证件信息外，可额外显示统一信用代码（如有）。</w:t>
      </w:r>
    </w:p>
    <w:p w14:paraId="3810E1E0">
      <w:pPr>
        <w:pStyle w:val="3"/>
      </w:pPr>
      <w:r>
        <w:drawing>
          <wp:inline distT="0" distB="0" distL="114300" distR="114300">
            <wp:extent cx="5334000" cy="1663700"/>
            <wp:effectExtent l="0" t="0" r="0" b="0"/>
            <wp:docPr id="2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638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545B59F1">
      <w:pPr>
        <w:pStyle w:val="4"/>
      </w:pPr>
      <w:bookmarkStart w:id="4" w:name="_Toc17843"/>
      <w:bookmarkStart w:id="5" w:name="我的待办增加批量终止功能"/>
      <w:r>
        <w:rPr>
          <w:rFonts w:hint="eastAsia"/>
        </w:rPr>
        <w:t>3、【我的待办】增加批量终止功能</w:t>
      </w:r>
      <w:bookmarkEnd w:id="4"/>
    </w:p>
    <w:p w14:paraId="401B8D3F">
      <w:pPr>
        <w:pStyle w:val="24"/>
      </w:pPr>
      <w:r>
        <w:rPr>
          <w:rFonts w:hint="eastAsia"/>
        </w:rPr>
        <w:t>注意，虽然会出现”批量终止按钮”，但无终止权限的待办是无法终止的，且会显示失败原因。进入待办详情页面，根据是否有终止按钮可判断是否有该待办终止权限。</w:t>
      </w:r>
    </w:p>
    <w:p w14:paraId="61380491">
      <w:pPr>
        <w:pStyle w:val="3"/>
      </w:pPr>
      <w:r>
        <w:drawing>
          <wp:inline distT="0" distB="0" distL="114300" distR="114300">
            <wp:extent cx="5334000" cy="2376805"/>
            <wp:effectExtent l="0" t="0" r="0" b="0"/>
            <wp:docPr id="2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7723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9E10E0">
      <w:pPr>
        <w:pStyle w:val="3"/>
      </w:pPr>
      <w:r>
        <w:drawing>
          <wp:inline distT="0" distB="0" distL="114300" distR="114300">
            <wp:extent cx="5334000" cy="2512695"/>
            <wp:effectExtent l="0" t="0" r="0" b="0"/>
            <wp:docPr id="3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13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41D06259">
      <w:pPr>
        <w:pStyle w:val="4"/>
      </w:pPr>
      <w:bookmarkStart w:id="6" w:name="_Toc15693"/>
      <w:bookmarkStart w:id="7" w:name="流程查询支持固定的权限"/>
      <w:r>
        <w:rPr>
          <w:rFonts w:hint="eastAsia"/>
        </w:rPr>
        <w:t>4、【流程查询】支持固定的权限</w:t>
      </w:r>
      <w:bookmarkEnd w:id="6"/>
    </w:p>
    <w:p w14:paraId="37C23360">
      <w:pPr>
        <w:pStyle w:val="24"/>
      </w:pPr>
      <w:r>
        <w:rPr>
          <w:rFonts w:hint="eastAsia"/>
        </w:rPr>
        <w:t>用来固定一些角色的查询权限。</w:t>
      </w:r>
    </w:p>
    <w:p w14:paraId="3664E89E">
      <w:pPr>
        <w:pStyle w:val="3"/>
      </w:pPr>
      <w:r>
        <w:rPr>
          <w:rFonts w:hint="eastAsia"/>
        </w:rPr>
        <w:t>【流程查询】页面数据权限级别——指定默认的权限级别。而本功能</w:t>
      </w:r>
    </w:p>
    <w:p w14:paraId="615C2A2F">
      <w:pPr>
        <w:pStyle w:val="3"/>
      </w:pPr>
      <w:r>
        <w:drawing>
          <wp:inline distT="0" distB="0" distL="114300" distR="114300">
            <wp:extent cx="5334000" cy="1623695"/>
            <wp:effectExtent l="0" t="0" r="0" b="0"/>
            <wp:docPr id="3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240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10E451E6">
      <w:pPr>
        <w:pStyle w:val="4"/>
      </w:pPr>
      <w:bookmarkStart w:id="8" w:name="_Toc16047"/>
      <w:bookmarkStart w:id="9" w:name="增加新复合控件表格控件"/>
      <w:r>
        <w:rPr>
          <w:rFonts w:hint="eastAsia"/>
        </w:rPr>
        <w:t>5、增加新复合控件：表格控件</w:t>
      </w:r>
      <w:bookmarkEnd w:id="8"/>
    </w:p>
    <w:p w14:paraId="53EA4F03">
      <w:pPr>
        <w:pStyle w:val="24"/>
      </w:pPr>
      <w:r>
        <w:rPr>
          <w:rFonts w:hint="eastAsia"/>
          <w:b/>
          <w:bCs/>
        </w:rPr>
        <w:t>注：</w:t>
      </w:r>
      <w:r>
        <w:t xml:space="preserve"> </w:t>
      </w:r>
      <w:r>
        <w:rPr>
          <w:rFonts w:hint="eastAsia"/>
        </w:rPr>
        <w:t>属于高阶功能，需要搭配系统的数据源使用。</w:t>
      </w:r>
    </w:p>
    <w:p w14:paraId="059C5EFA">
      <w:pPr>
        <w:pStyle w:val="3"/>
      </w:pPr>
      <w:r>
        <w:rPr>
          <w:rFonts w:hint="eastAsia"/>
        </w:rPr>
        <w:t>支持简单的表格形式，支持合计。主要用来显示一些简单的表格。</w:t>
      </w:r>
    </w:p>
    <w:p w14:paraId="0ED5F9ED">
      <w:pPr>
        <w:pStyle w:val="3"/>
      </w:pPr>
      <w:r>
        <w:rPr>
          <w:rFonts w:hint="eastAsia"/>
        </w:rPr>
        <w:t>表格控件的配置要分两步：1、配置自己表格控件；2、再将其引入到业务表单中去</w:t>
      </w:r>
    </w:p>
    <w:p w14:paraId="34113842">
      <w:pPr>
        <w:pStyle w:val="3"/>
      </w:pPr>
      <w:r>
        <w:rPr>
          <w:rFonts w:hint="eastAsia"/>
          <w:b/>
          <w:bCs/>
        </w:rPr>
        <w:t>1、配置自己表格控件：</w:t>
      </w:r>
    </w:p>
    <w:p w14:paraId="038C4068">
      <w:pPr>
        <w:pStyle w:val="3"/>
      </w:pPr>
      <w:r>
        <w:drawing>
          <wp:inline distT="0" distB="0" distL="114300" distR="114300">
            <wp:extent cx="5334000" cy="2451735"/>
            <wp:effectExtent l="0" t="0" r="0" b="0"/>
            <wp:docPr id="4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518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F7BE4E">
      <w:pPr>
        <w:pStyle w:val="3"/>
      </w:pPr>
      <w:r>
        <w:drawing>
          <wp:inline distT="0" distB="0" distL="114300" distR="114300">
            <wp:extent cx="5334000" cy="3877945"/>
            <wp:effectExtent l="0" t="0" r="0" b="0"/>
            <wp:docPr id="4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87816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8B75C6">
      <w:pPr>
        <w:pStyle w:val="3"/>
      </w:pPr>
      <w:r>
        <w:rPr>
          <w:rFonts w:hint="eastAsia"/>
          <w:b/>
          <w:bCs/>
        </w:rPr>
        <w:t>2、再将其引入到业务表单中去</w:t>
      </w:r>
    </w:p>
    <w:p w14:paraId="7D9D734E">
      <w:pPr>
        <w:pStyle w:val="3"/>
      </w:pPr>
      <w:r>
        <w:drawing>
          <wp:inline distT="0" distB="0" distL="114300" distR="114300">
            <wp:extent cx="5334000" cy="3200400"/>
            <wp:effectExtent l="0" t="0" r="0" b="0"/>
            <wp:docPr id="4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2009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06E548">
      <w:pPr>
        <w:pStyle w:val="3"/>
      </w:pPr>
      <w:r>
        <w:rPr>
          <w:rFonts w:hint="eastAsia"/>
        </w:rPr>
        <w:t>在流程中显示的效果：</w:t>
      </w:r>
    </w:p>
    <w:p w14:paraId="551838DE">
      <w:pPr>
        <w:pStyle w:val="3"/>
      </w:pPr>
      <w:r>
        <w:drawing>
          <wp:inline distT="0" distB="0" distL="114300" distR="114300">
            <wp:extent cx="5334000" cy="1498600"/>
            <wp:effectExtent l="0" t="0" r="0" b="0"/>
            <wp:docPr id="4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9918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0F40970B">
      <w:pPr>
        <w:pStyle w:val="4"/>
      </w:pPr>
      <w:bookmarkStart w:id="10" w:name="_Toc24878"/>
      <w:bookmarkStart w:id="11" w:name="增加新基础控件客户多选控件"/>
      <w:r>
        <w:rPr>
          <w:rFonts w:hint="eastAsia"/>
        </w:rPr>
        <w:t>6、增加新基础控件：客户多选控件</w:t>
      </w:r>
      <w:bookmarkEnd w:id="10"/>
    </w:p>
    <w:p w14:paraId="513C4E15">
      <w:pPr>
        <w:pStyle w:val="24"/>
      </w:pPr>
      <w:r>
        <w:drawing>
          <wp:inline distT="0" distB="0" distL="114300" distR="114300">
            <wp:extent cx="5334000" cy="928370"/>
            <wp:effectExtent l="0" t="0" r="0" b="0"/>
            <wp:docPr id="5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288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 w14:paraId="41E231A1">
      <w:pPr>
        <w:pStyle w:val="4"/>
      </w:pPr>
      <w:bookmarkStart w:id="12" w:name="_Toc10288"/>
      <w:bookmarkStart w:id="13" w:name="增加新基础控件crm账号多选控件"/>
      <w:r>
        <w:rPr>
          <w:rFonts w:hint="eastAsia"/>
        </w:rPr>
        <w:t>7、增加新基础控件：CRM账号多选控件</w:t>
      </w:r>
      <w:bookmarkEnd w:id="12"/>
    </w:p>
    <w:p w14:paraId="6559A1A1">
      <w:pPr>
        <w:pStyle w:val="24"/>
      </w:pPr>
      <w:r>
        <w:drawing>
          <wp:inline distT="0" distB="0" distL="114300" distR="114300">
            <wp:extent cx="5334000" cy="1027430"/>
            <wp:effectExtent l="0" t="0" r="0" b="0"/>
            <wp:docPr id="5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2757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08907742">
      <w:pPr>
        <w:pStyle w:val="4"/>
      </w:pPr>
      <w:bookmarkStart w:id="14" w:name="_Toc8287"/>
      <w:bookmarkStart w:id="15" w:name="增加新复合控件业绩关系控件"/>
      <w:r>
        <w:rPr>
          <w:rFonts w:hint="eastAsia"/>
        </w:rPr>
        <w:t>8、增加新复合控件：业绩关系控件</w:t>
      </w:r>
      <w:bookmarkEnd w:id="14"/>
    </w:p>
    <w:p w14:paraId="3E55336A">
      <w:pPr>
        <w:pStyle w:val="24"/>
      </w:pPr>
      <w:r>
        <w:rPr>
          <w:rFonts w:hint="eastAsia"/>
          <w:b/>
          <w:bCs/>
        </w:rPr>
        <w:t>注：</w:t>
      </w:r>
      <w:r>
        <w:t xml:space="preserve"> </w:t>
      </w:r>
      <w:r>
        <w:rPr>
          <w:rFonts w:hint="eastAsia"/>
        </w:rPr>
        <w:t>搭配德索流程的数据写入节点，可以实现业绩关系写入到【新佣金提成管理】模块。</w:t>
      </w:r>
    </w:p>
    <w:p w14:paraId="46245EB7">
      <w:pPr>
        <w:pStyle w:val="3"/>
      </w:pPr>
      <w:r>
        <w:rPr>
          <w:rFonts w:hint="eastAsia"/>
        </w:rPr>
        <w:t>搭配数据源，可以在流程中显示客户已存在的业绩关系，并且可以在此基础上进行调整，且会高亮提示修改内容。</w:t>
      </w:r>
    </w:p>
    <w:p w14:paraId="58046C16">
      <w:pPr>
        <w:pStyle w:val="3"/>
      </w:pPr>
      <w:r>
        <w:drawing>
          <wp:inline distT="0" distB="0" distL="114300" distR="114300">
            <wp:extent cx="5334000" cy="2397125"/>
            <wp:effectExtent l="0" t="0" r="0" b="0"/>
            <wp:docPr id="6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9748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77E6D4">
      <w:pPr>
        <w:pStyle w:val="3"/>
      </w:pPr>
      <w:r>
        <w:rPr>
          <w:rFonts w:hint="eastAsia"/>
        </w:rPr>
        <w:t>可限制新增关系人选择范围</w:t>
      </w:r>
    </w:p>
    <w:p w14:paraId="4577B9AB">
      <w:pPr>
        <w:pStyle w:val="3"/>
      </w:pPr>
      <w:r>
        <w:drawing>
          <wp:inline distT="0" distB="0" distL="114300" distR="114300">
            <wp:extent cx="5334000" cy="3203575"/>
            <wp:effectExtent l="0" t="0" r="0" b="0"/>
            <wp:docPr id="6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203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862900">
      <w:pPr>
        <w:pStyle w:val="3"/>
      </w:pPr>
      <w:r>
        <w:rPr>
          <w:rFonts w:hint="eastAsia"/>
        </w:rPr>
        <w:t>新增时候支持了默认值：</w:t>
      </w:r>
    </w:p>
    <w:p w14:paraId="01FCB2CC">
      <w:pPr>
        <w:pStyle w:val="3"/>
      </w:pPr>
      <w:r>
        <w:drawing>
          <wp:inline distT="0" distB="0" distL="114300" distR="114300">
            <wp:extent cx="5334000" cy="4795520"/>
            <wp:effectExtent l="0" t="0" r="0" b="0"/>
            <wp:docPr id="6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958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7007E2">
      <w:pPr>
        <w:pStyle w:val="3"/>
      </w:pPr>
      <w:r>
        <w:rPr>
          <w:rFonts w:hint="eastAsia"/>
        </w:rPr>
        <w:t>修改现有关系，可显示改前改后值：</w:t>
      </w:r>
    </w:p>
    <w:p w14:paraId="34058DB2">
      <w:pPr>
        <w:pStyle w:val="3"/>
      </w:pPr>
      <w:r>
        <w:drawing>
          <wp:inline distT="0" distB="0" distL="114300" distR="114300">
            <wp:extent cx="5334000" cy="1130935"/>
            <wp:effectExtent l="0" t="0" r="0" b="0"/>
            <wp:docPr id="7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311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BD82EC">
      <w:pPr>
        <w:pStyle w:val="3"/>
      </w:pPr>
      <w:r>
        <w:rPr>
          <w:rFonts w:hint="eastAsia"/>
        </w:rPr>
        <w:t>流程中加入数据写入节点，可将业绩关系写入到【新佣金提成管理】模块：</w:t>
      </w:r>
    </w:p>
    <w:p w14:paraId="60E74377">
      <w:pPr>
        <w:pStyle w:val="3"/>
      </w:pPr>
      <w:r>
        <w:drawing>
          <wp:inline distT="0" distB="0" distL="114300" distR="114300">
            <wp:extent cx="5334000" cy="1691005"/>
            <wp:effectExtent l="0" t="0" r="0" b="0"/>
            <wp:docPr id="7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912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B9BED9">
      <w:pPr>
        <w:pStyle w:val="3"/>
      </w:pPr>
      <w:r>
        <w:rPr>
          <w:rFonts w:hint="eastAsia"/>
        </w:rPr>
        <w:t>修改现有关系，可显示改前改后值：</w:t>
      </w:r>
    </w:p>
    <w:p w14:paraId="0A671346">
      <w:pPr>
        <w:pStyle w:val="3"/>
      </w:pPr>
      <w:r>
        <w:drawing>
          <wp:inline distT="0" distB="0" distL="114300" distR="114300">
            <wp:extent cx="5334000" cy="988060"/>
            <wp:effectExtent l="0" t="0" r="0" b="0"/>
            <wp:docPr id="7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8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p w14:paraId="3C74591E">
      <w:pPr>
        <w:pStyle w:val="4"/>
      </w:pPr>
      <w:bookmarkStart w:id="16" w:name="_Toc1572"/>
      <w:bookmarkStart w:id="17" w:name="增加新复合控件软件费用控件"/>
      <w:r>
        <w:rPr>
          <w:rFonts w:hint="eastAsia"/>
        </w:rPr>
        <w:t>9、增加新复合控件：软件费用控件</w:t>
      </w:r>
      <w:bookmarkEnd w:id="16"/>
    </w:p>
    <w:p w14:paraId="34BBE5A6">
      <w:pPr>
        <w:pStyle w:val="24"/>
      </w:pPr>
      <w:r>
        <w:rPr>
          <w:rFonts w:hint="eastAsia"/>
          <w:b/>
          <w:bCs/>
        </w:rPr>
        <w:t>注：</w:t>
      </w:r>
      <w:r>
        <w:t xml:space="preserve"> </w:t>
      </w:r>
      <w:r>
        <w:rPr>
          <w:rFonts w:hint="eastAsia"/>
        </w:rPr>
        <w:t>搭配德索流程的数据写入节点，可以实现业绩关系写入到【新佣金提成管理】模块</w:t>
      </w:r>
    </w:p>
    <w:p w14:paraId="68DD568D">
      <w:pPr>
        <w:pStyle w:val="3"/>
      </w:pPr>
      <w:r>
        <w:rPr>
          <w:rFonts w:hint="eastAsia"/>
        </w:rPr>
        <w:t>搭配数据源，可以在流程中显示客户已存在的业绩关系，并且可以在此基础上进行调整，且会高亮提示修改内容。</w:t>
      </w:r>
    </w:p>
    <w:p w14:paraId="182609F3">
      <w:pPr>
        <w:pStyle w:val="3"/>
      </w:pPr>
      <w:r>
        <w:drawing>
          <wp:inline distT="0" distB="0" distL="114300" distR="114300">
            <wp:extent cx="5334000" cy="2419350"/>
            <wp:effectExtent l="0" t="0" r="0" b="0"/>
            <wp:docPr id="8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1940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D14DA2">
      <w:pPr>
        <w:pStyle w:val="3"/>
      </w:pPr>
      <w:r>
        <w:rPr>
          <w:rFonts w:hint="eastAsia"/>
        </w:rPr>
        <w:t>流程中加入数据写入节点，可将业绩关系写入到【新佣金提成管理】模块：</w:t>
      </w:r>
    </w:p>
    <w:p w14:paraId="67A3832A">
      <w:pPr>
        <w:pStyle w:val="3"/>
      </w:pPr>
      <w:r>
        <w:drawing>
          <wp:inline distT="0" distB="0" distL="114300" distR="114300">
            <wp:extent cx="5334000" cy="1408430"/>
            <wp:effectExtent l="0" t="0" r="0" b="0"/>
            <wp:docPr id="83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0898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F44319">
      <w:pPr>
        <w:pStyle w:val="3"/>
      </w:pPr>
      <w:r>
        <w:rPr>
          <w:rFonts w:hint="eastAsia"/>
        </w:rPr>
        <w:t>修改现有收费软件条目，可显示改前改后值：</w:t>
      </w:r>
    </w:p>
    <w:p w14:paraId="7589C38C">
      <w:pPr>
        <w:pStyle w:val="3"/>
      </w:pPr>
      <w:r>
        <w:drawing>
          <wp:inline distT="0" distB="0" distL="114300" distR="114300">
            <wp:extent cx="5334000" cy="988060"/>
            <wp:effectExtent l="0" t="0" r="0" b="0"/>
            <wp:docPr id="86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8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p w14:paraId="15614DA0">
      <w:pPr>
        <w:pStyle w:val="4"/>
      </w:pPr>
      <w:bookmarkStart w:id="18" w:name="_Toc2063"/>
      <w:bookmarkStart w:id="19" w:name="流程名称可添加说明"/>
      <w:r>
        <w:rPr>
          <w:rFonts w:hint="eastAsia"/>
        </w:rPr>
        <w:t>10、流程名称可添加说明</w:t>
      </w:r>
      <w:bookmarkEnd w:id="18"/>
    </w:p>
    <w:p w14:paraId="0D18DC0C">
      <w:pPr>
        <w:pStyle w:val="24"/>
      </w:pPr>
      <w:r>
        <w:rPr>
          <w:rFonts w:hint="eastAsia"/>
        </w:rPr>
        <w:t>在流程详情页面中，流程名称后面会有个黄色感叹号，鼠标放上去显示</w:t>
      </w:r>
      <w:r>
        <w:t xml:space="preserve"> </w:t>
      </w:r>
      <w:r>
        <w:rPr>
          <w:rFonts w:hint="eastAsia"/>
        </w:rPr>
        <w:t>“流程名称说明”。该功能主要用来描述一些复杂的流程。</w:t>
      </w:r>
    </w:p>
    <w:p w14:paraId="551639C0">
      <w:pPr>
        <w:pStyle w:val="3"/>
      </w:pPr>
      <w:r>
        <w:drawing>
          <wp:inline distT="0" distB="0" distL="114300" distR="114300">
            <wp:extent cx="5334000" cy="2154555"/>
            <wp:effectExtent l="0" t="0" r="0" b="0"/>
            <wp:docPr id="90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551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14:paraId="1EED112A">
      <w:pPr>
        <w:pStyle w:val="4"/>
      </w:pPr>
      <w:bookmarkStart w:id="20" w:name="_Toc19980"/>
      <w:bookmarkStart w:id="21" w:name="流程支持发送短信功能"/>
      <w:r>
        <w:rPr>
          <w:rFonts w:hint="eastAsia"/>
        </w:rPr>
        <w:t>11、流程支持发送短信功能</w:t>
      </w:r>
      <w:bookmarkEnd w:id="20"/>
    </w:p>
    <w:p w14:paraId="0FC357F3">
      <w:pPr>
        <w:pStyle w:val="24"/>
      </w:pPr>
      <w:r>
        <w:rPr>
          <w:rFonts w:hint="eastAsia"/>
        </w:rPr>
        <w:t>支持指定手机号，或者读取表单中填写的手机号。</w:t>
      </w:r>
    </w:p>
    <w:p w14:paraId="394E3DD6">
      <w:pPr>
        <w:pStyle w:val="3"/>
      </w:pPr>
      <w:r>
        <w:drawing>
          <wp:inline distT="0" distB="0" distL="114300" distR="114300">
            <wp:extent cx="5334000" cy="1642745"/>
            <wp:effectExtent l="0" t="0" r="0" b="0"/>
            <wp:docPr id="9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429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11823D">
      <w:pPr>
        <w:pStyle w:val="3"/>
      </w:pPr>
      <w:r>
        <w:drawing>
          <wp:inline distT="0" distB="0" distL="114300" distR="114300">
            <wp:extent cx="5334000" cy="2581910"/>
            <wp:effectExtent l="0" t="0" r="0" b="0"/>
            <wp:docPr id="9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823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553766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qFormat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qFormat/>
    <w:uiPriority w:val="0"/>
  </w:style>
  <w:style w:type="paragraph" w:customStyle="1" w:styleId="47">
    <w:name w:val="Figure"/>
    <w:basedOn w:val="1"/>
    <w:qFormat/>
    <w:uiPriority w:val="0"/>
  </w:style>
  <w:style w:type="paragraph" w:customStyle="1" w:styleId="48">
    <w:name w:val="Captioned Figure"/>
    <w:basedOn w:val="47"/>
    <w:uiPriority w:val="0"/>
    <w:pPr>
      <w:keepNext/>
    </w:pPr>
  </w:style>
  <w:style w:type="character" w:customStyle="1" w:styleId="49">
    <w:name w:val="Verbatim Char"/>
    <w:basedOn w:val="22"/>
    <w:link w:val="50"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uiPriority w:val="0"/>
    <w:rPr>
      <w:b/>
      <w:color w:val="007020"/>
    </w:rPr>
  </w:style>
  <w:style w:type="character" w:customStyle="1" w:styleId="54">
    <w:name w:val="DataTypeTok"/>
    <w:basedOn w:val="49"/>
    <w:qFormat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uiPriority w:val="0"/>
    <w:rPr>
      <w:color w:val="40A070"/>
    </w:rPr>
  </w:style>
  <w:style w:type="character" w:customStyle="1" w:styleId="57">
    <w:name w:val="FloatTok"/>
    <w:basedOn w:val="49"/>
    <w:uiPriority w:val="0"/>
    <w:rPr>
      <w:color w:val="40A070"/>
    </w:rPr>
  </w:style>
  <w:style w:type="character" w:customStyle="1" w:styleId="58">
    <w:name w:val="ConstantTok"/>
    <w:basedOn w:val="49"/>
    <w:uiPriority w:val="0"/>
    <w:rPr>
      <w:color w:val="880000"/>
    </w:rPr>
  </w:style>
  <w:style w:type="character" w:customStyle="1" w:styleId="59">
    <w:name w:val="CharTok"/>
    <w:basedOn w:val="49"/>
    <w:uiPriority w:val="0"/>
    <w:rPr>
      <w:color w:val="4070A0"/>
    </w:rPr>
  </w:style>
  <w:style w:type="character" w:customStyle="1" w:styleId="60">
    <w:name w:val="SpecialCharTok"/>
    <w:basedOn w:val="49"/>
    <w:uiPriority w:val="0"/>
    <w:rPr>
      <w:color w:val="4070A0"/>
    </w:rPr>
  </w:style>
  <w:style w:type="character" w:customStyle="1" w:styleId="61">
    <w:name w:val="StringTok"/>
    <w:basedOn w:val="49"/>
    <w:qFormat/>
    <w:uiPriority w:val="0"/>
    <w:rPr>
      <w:color w:val="4070A0"/>
    </w:rPr>
  </w:style>
  <w:style w:type="character" w:customStyle="1" w:styleId="62">
    <w:name w:val="VerbatimStringTok"/>
    <w:basedOn w:val="49"/>
    <w:uiPriority w:val="0"/>
    <w:rPr>
      <w:color w:val="4070A0"/>
    </w:rPr>
  </w:style>
  <w:style w:type="character" w:customStyle="1" w:styleId="63">
    <w:name w:val="SpecialStringTok"/>
    <w:basedOn w:val="49"/>
    <w:uiPriority w:val="0"/>
    <w:rPr>
      <w:color w:val="BB6688"/>
    </w:rPr>
  </w:style>
  <w:style w:type="character" w:customStyle="1" w:styleId="64">
    <w:name w:val="ImportTok"/>
    <w:basedOn w:val="49"/>
    <w:uiPriority w:val="0"/>
    <w:rPr>
      <w:b/>
      <w:color w:val="008000"/>
    </w:rPr>
  </w:style>
  <w:style w:type="character" w:customStyle="1" w:styleId="65">
    <w:name w:val="CommentTok"/>
    <w:basedOn w:val="49"/>
    <w:uiPriority w:val="0"/>
    <w:rPr>
      <w:i/>
      <w:color w:val="60A0B0"/>
    </w:rPr>
  </w:style>
  <w:style w:type="character" w:customStyle="1" w:styleId="66">
    <w:name w:val="DocumentationTok"/>
    <w:basedOn w:val="49"/>
    <w:uiPriority w:val="0"/>
    <w:rPr>
      <w:i/>
      <w:color w:val="BA2121"/>
    </w:rPr>
  </w:style>
  <w:style w:type="character" w:customStyle="1" w:styleId="67">
    <w:name w:val="AnnotationTok"/>
    <w:basedOn w:val="49"/>
    <w:uiPriority w:val="0"/>
    <w:rPr>
      <w:b/>
      <w:i/>
      <w:color w:val="60A0B0"/>
    </w:rPr>
  </w:style>
  <w:style w:type="character" w:customStyle="1" w:styleId="68">
    <w:name w:val="CommentVarTok"/>
    <w:basedOn w:val="49"/>
    <w:uiPriority w:val="0"/>
    <w:rPr>
      <w:b/>
      <w:i/>
      <w:color w:val="60A0B0"/>
    </w:rPr>
  </w:style>
  <w:style w:type="character" w:customStyle="1" w:styleId="69">
    <w:name w:val="OtherTok"/>
    <w:basedOn w:val="49"/>
    <w:uiPriority w:val="0"/>
    <w:rPr>
      <w:color w:val="007020"/>
    </w:rPr>
  </w:style>
  <w:style w:type="character" w:customStyle="1" w:styleId="70">
    <w:name w:val="FunctionTok"/>
    <w:basedOn w:val="49"/>
    <w:uiPriority w:val="0"/>
    <w:rPr>
      <w:color w:val="06287E"/>
    </w:rPr>
  </w:style>
  <w:style w:type="character" w:customStyle="1" w:styleId="71">
    <w:name w:val="VariableTok"/>
    <w:basedOn w:val="49"/>
    <w:uiPriority w:val="0"/>
    <w:rPr>
      <w:color w:val="19177C"/>
    </w:rPr>
  </w:style>
  <w:style w:type="character" w:customStyle="1" w:styleId="72">
    <w:name w:val="ControlFlowTok"/>
    <w:basedOn w:val="49"/>
    <w:qFormat/>
    <w:uiPriority w:val="0"/>
    <w:rPr>
      <w:b/>
      <w:color w:val="007020"/>
    </w:rPr>
  </w:style>
  <w:style w:type="character" w:customStyle="1" w:styleId="73">
    <w:name w:val="OperatorTok"/>
    <w:basedOn w:val="49"/>
    <w:uiPriority w:val="0"/>
    <w:rPr>
      <w:color w:val="666666"/>
    </w:rPr>
  </w:style>
  <w:style w:type="character" w:customStyle="1" w:styleId="74">
    <w:name w:val="BuiltInTok"/>
    <w:basedOn w:val="49"/>
    <w:uiPriority w:val="0"/>
    <w:rPr>
      <w:color w:val="008000"/>
    </w:rPr>
  </w:style>
  <w:style w:type="character" w:customStyle="1" w:styleId="75">
    <w:name w:val="ExtensionTok"/>
    <w:basedOn w:val="49"/>
    <w:uiPriority w:val="0"/>
  </w:style>
  <w:style w:type="character" w:customStyle="1" w:styleId="76">
    <w:name w:val="PreprocessorTok"/>
    <w:basedOn w:val="49"/>
    <w:uiPriority w:val="0"/>
    <w:rPr>
      <w:color w:val="BC7A00"/>
    </w:rPr>
  </w:style>
  <w:style w:type="character" w:customStyle="1" w:styleId="77">
    <w:name w:val="AttributeTok"/>
    <w:basedOn w:val="49"/>
    <w:uiPriority w:val="0"/>
    <w:rPr>
      <w:color w:val="7D9029"/>
    </w:rPr>
  </w:style>
  <w:style w:type="character" w:customStyle="1" w:styleId="78">
    <w:name w:val="RegionMarkerTok"/>
    <w:basedOn w:val="49"/>
    <w:uiPriority w:val="0"/>
  </w:style>
  <w:style w:type="character" w:customStyle="1" w:styleId="79">
    <w:name w:val="InformationTok"/>
    <w:basedOn w:val="49"/>
    <w:uiPriority w:val="0"/>
    <w:rPr>
      <w:b/>
      <w:i/>
      <w:color w:val="60A0B0"/>
    </w:rPr>
  </w:style>
  <w:style w:type="character" w:customStyle="1" w:styleId="80">
    <w:name w:val="WarningTok"/>
    <w:basedOn w:val="49"/>
    <w:uiPriority w:val="0"/>
    <w:rPr>
      <w:b/>
      <w:i/>
      <w:color w:val="60A0B0"/>
    </w:rPr>
  </w:style>
  <w:style w:type="character" w:customStyle="1" w:styleId="81">
    <w:name w:val="AlertTok"/>
    <w:basedOn w:val="49"/>
    <w:uiPriority w:val="0"/>
    <w:rPr>
      <w:b/>
      <w:color w:val="FF0000"/>
    </w:rPr>
  </w:style>
  <w:style w:type="character" w:customStyle="1" w:styleId="82">
    <w:name w:val="ErrorTok"/>
    <w:basedOn w:val="49"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2026-07-08T05:21:58Z</dcterms:modified>
  <dc:title>更新内容_v1.20230331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C85D974333DF447D8807B5282848777B_12</vt:lpwstr>
  </property>
</Properties>
</file>