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F39E1">
      <w:pPr>
        <w:pStyle w:val="15"/>
      </w:pPr>
      <w:bookmarkStart w:id="16" w:name="_GoBack"/>
      <w:bookmarkEnd w:id="16"/>
      <w:r>
        <w:rPr>
          <w:rFonts w:hint="eastAsia"/>
        </w:rPr>
        <w:t>更新内容_v1.20210806</w:t>
      </w:r>
    </w:p>
    <w:sdt>
      <w:sdtPr>
        <w:id w:val="147480695"/>
        <w:docPartObj>
          <w:docPartGallery w:val="Table of Contents"/>
          <w:docPartUnique/>
        </w:docPartObj>
      </w:sdtPr>
      <w:sdtContent>
        <w:p w14:paraId="6AA1B2BD">
          <w:pPr>
            <w:pStyle w:val="52"/>
          </w:pPr>
          <w:r>
            <w:rPr>
              <w:rFonts w:hint="eastAsia"/>
            </w:rPr>
            <w:t>目录</w:t>
          </w:r>
        </w:p>
        <w:p w14:paraId="5FB62A31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_Toc30572 </w:instrText>
          </w:r>
          <w:r>
            <w:fldChar w:fldCharType="separate"/>
          </w:r>
          <w:r>
            <w:rPr>
              <w:rFonts w:hint="eastAsia"/>
            </w:rPr>
            <w:t>1、流程任务增加批量审批功能</w:t>
          </w:r>
          <w:r>
            <w:tab/>
          </w:r>
          <w:r>
            <w:fldChar w:fldCharType="begin"/>
          </w:r>
          <w:r>
            <w:instrText xml:space="preserve"> PAGEREF _Toc30572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AE4364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_Toc29113 </w:instrText>
          </w:r>
          <w:r>
            <w:fldChar w:fldCharType="separate"/>
          </w:r>
          <w:r>
            <w:rPr>
              <w:rFonts w:hint="eastAsia"/>
            </w:rPr>
            <w:t>2、增加流程草稿功能</w:t>
          </w:r>
          <w:r>
            <w:tab/>
          </w:r>
          <w:r>
            <w:fldChar w:fldCharType="begin"/>
          </w:r>
          <w:r>
            <w:instrText xml:space="preserve"> PAGEREF _Toc29113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5A62D3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_Toc25372 </w:instrText>
          </w:r>
          <w:r>
            <w:fldChar w:fldCharType="separate"/>
          </w:r>
          <w:r>
            <w:rPr>
              <w:rFonts w:hint="eastAsia"/>
            </w:rPr>
            <w:t>3、流程审核退回时支持审计</w:t>
          </w:r>
          <w:r>
            <w:tab/>
          </w:r>
          <w:r>
            <w:fldChar w:fldCharType="begin"/>
          </w:r>
          <w:r>
            <w:instrText xml:space="preserve"> PAGEREF _Toc25372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5E351B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_Toc4993 </w:instrText>
          </w:r>
          <w:r>
            <w:fldChar w:fldCharType="separate"/>
          </w:r>
          <w:r>
            <w:rPr>
              <w:rFonts w:hint="eastAsia"/>
            </w:rPr>
            <w:t>4、【影像资料查询】【流程查询】的资料批量导出权限控制</w:t>
          </w:r>
          <w:r>
            <w:tab/>
          </w:r>
          <w:r>
            <w:fldChar w:fldCharType="begin"/>
          </w:r>
          <w:r>
            <w:instrText xml:space="preserve"> PAGEREF _Toc4993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E36C3AD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_Toc17489 </w:instrText>
          </w:r>
          <w:r>
            <w:fldChar w:fldCharType="separate"/>
          </w:r>
          <w:r>
            <w:rPr>
              <w:rFonts w:hint="eastAsia"/>
            </w:rPr>
            <w:t>5、查询条件支持：CTP柜台的投资者属性</w:t>
          </w:r>
          <w:r>
            <w:tab/>
          </w:r>
          <w:r>
            <w:fldChar w:fldCharType="begin"/>
          </w:r>
          <w:r>
            <w:instrText xml:space="preserve"> PAGEREF _Toc17489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41734E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_Toc15571 </w:instrText>
          </w:r>
          <w:r>
            <w:fldChar w:fldCharType="separate"/>
          </w:r>
          <w:r>
            <w:rPr>
              <w:rFonts w:hint="eastAsia"/>
            </w:rPr>
            <w:t>6、【影像资料查询】页面中，增加删除"历史导入"类文件功能</w:t>
          </w:r>
          <w:r>
            <w:tab/>
          </w:r>
          <w:r>
            <w:fldChar w:fldCharType="begin"/>
          </w:r>
          <w:r>
            <w:instrText xml:space="preserve"> PAGEREF _Toc15571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0A7FE73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_Toc32682 </w:instrText>
          </w:r>
          <w:r>
            <w:fldChar w:fldCharType="separate"/>
          </w:r>
          <w:r>
            <w:rPr>
              <w:rFonts w:hint="eastAsia"/>
            </w:rPr>
            <w:t>7、【静态资源查看】页面优化</w:t>
          </w:r>
          <w:r>
            <w:tab/>
          </w:r>
          <w:r>
            <w:fldChar w:fldCharType="begin"/>
          </w:r>
          <w:r>
            <w:instrText xml:space="preserve"> PAGEREF _Toc32682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3323D8E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_Toc2690 </w:instrText>
          </w:r>
          <w:r>
            <w:fldChar w:fldCharType="separate"/>
          </w:r>
          <w:r>
            <w:rPr>
              <w:rFonts w:hint="eastAsia"/>
            </w:rPr>
            <w:t>8、【批量上传】时，允许检查客户名称</w:t>
          </w:r>
          <w:r>
            <w:tab/>
          </w:r>
          <w:r>
            <w:fldChar w:fldCharType="begin"/>
          </w:r>
          <w:r>
            <w:instrText xml:space="preserve"> PAGEREF _Toc2690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E5D245F">
          <w:r>
            <w:fldChar w:fldCharType="end"/>
          </w:r>
        </w:p>
      </w:sdtContent>
    </w:sdt>
    <w:p w14:paraId="61A13D93">
      <w:pPr>
        <w:pStyle w:val="4"/>
      </w:pPr>
      <w:bookmarkStart w:id="0" w:name="_Toc30572"/>
      <w:bookmarkStart w:id="1" w:name="流程任务增加批量审批功能"/>
      <w:r>
        <w:rPr>
          <w:rFonts w:hint="eastAsia"/>
        </w:rPr>
        <w:t>1、流程任务增加批量审批功能</w:t>
      </w:r>
      <w:bookmarkEnd w:id="0"/>
    </w:p>
    <w:p w14:paraId="727DBC6E">
      <w:pPr>
        <w:pStyle w:val="24"/>
      </w:pPr>
      <w:r>
        <w:rPr>
          <w:rFonts w:hint="eastAsia"/>
        </w:rPr>
        <w:t>值得注意的是不同流程、同流程的不同节点，它们的审核按钮都是可以不一样的。所以，在本功能提供了的俩类的批量按钮：一类是审核按钮名称中包含了关键字</w:t>
      </w:r>
      <w:r>
        <w:t xml:space="preserve"> </w:t>
      </w:r>
      <w:r>
        <w:rPr>
          <w:rFonts w:hint="eastAsia"/>
          <w:b/>
          <w:bCs/>
        </w:rPr>
        <w:t>“不","回","退"</w:t>
      </w:r>
      <w:r>
        <w:t xml:space="preserve"> </w:t>
      </w:r>
      <w:r>
        <w:rPr>
          <w:rFonts w:hint="eastAsia"/>
        </w:rPr>
        <w:t>等的【批量驳回】；和另外一类</w:t>
      </w:r>
      <w:r>
        <w:rPr>
          <w:rFonts w:hint="eastAsia"/>
          <w:b/>
          <w:bCs/>
        </w:rPr>
        <w:t>不</w:t>
      </w:r>
      <w:r>
        <w:rPr>
          <w:rFonts w:hint="eastAsia"/>
        </w:rPr>
        <w:t>包含关键字的【批量通过】。批量操作不成功的流程会保留。</w:t>
      </w:r>
    </w:p>
    <w:p w14:paraId="593CFBDA">
      <w:pPr>
        <w:pStyle w:val="3"/>
      </w:pPr>
      <w:r>
        <w:drawing>
          <wp:inline distT="0" distB="0" distL="114300" distR="114300">
            <wp:extent cx="5334000" cy="2712720"/>
            <wp:effectExtent l="0" t="0" r="0" b="0"/>
            <wp:docPr id="2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12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BF9D0E">
      <w:pPr>
        <w:pStyle w:val="3"/>
      </w:pPr>
      <w:r>
        <w:drawing>
          <wp:inline distT="0" distB="0" distL="114300" distR="114300">
            <wp:extent cx="5334000" cy="2066925"/>
            <wp:effectExtent l="0" t="0" r="0" b="0"/>
            <wp:docPr id="2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6738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3EB61A1C">
      <w:pPr>
        <w:pStyle w:val="4"/>
      </w:pPr>
      <w:bookmarkStart w:id="2" w:name="_Toc29113"/>
      <w:bookmarkStart w:id="3" w:name="增加流程草稿功能"/>
      <w:r>
        <w:rPr>
          <w:rFonts w:hint="eastAsia"/>
        </w:rPr>
        <w:t>2、增加流程草稿功能</w:t>
      </w:r>
      <w:bookmarkEnd w:id="2"/>
    </w:p>
    <w:p w14:paraId="1B4599BD">
      <w:pPr>
        <w:pStyle w:val="24"/>
      </w:pPr>
      <w:r>
        <w:rPr>
          <w:rFonts w:hint="eastAsia"/>
        </w:rPr>
        <w:t>对于准备发起的流程，可以存至流程草稿。</w:t>
      </w:r>
    </w:p>
    <w:p w14:paraId="68510DA7">
      <w:pPr>
        <w:pStyle w:val="3"/>
      </w:pPr>
      <w:r>
        <w:drawing>
          <wp:inline distT="0" distB="0" distL="114300" distR="114300">
            <wp:extent cx="5334000" cy="2763520"/>
            <wp:effectExtent l="0" t="0" r="0" b="0"/>
            <wp:docPr id="2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64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0AFBD0">
      <w:pPr>
        <w:pStyle w:val="3"/>
      </w:pPr>
      <w:r>
        <w:drawing>
          <wp:inline distT="0" distB="0" distL="114300" distR="114300">
            <wp:extent cx="5334000" cy="2747645"/>
            <wp:effectExtent l="0" t="0" r="0" b="0"/>
            <wp:docPr id="3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4789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CEDA8E">
      <w:pPr>
        <w:pStyle w:val="3"/>
      </w:pPr>
      <w:r>
        <w:rPr>
          <w:rFonts w:hint="eastAsia"/>
        </w:rPr>
        <w:t>点击处理，则可以重新唤醒流程</w:t>
      </w:r>
    </w:p>
    <w:p w14:paraId="4FC87C84">
      <w:pPr>
        <w:pStyle w:val="3"/>
      </w:pPr>
      <w:r>
        <w:drawing>
          <wp:inline distT="0" distB="0" distL="114300" distR="114300">
            <wp:extent cx="5334000" cy="2506345"/>
            <wp:effectExtent l="0" t="0" r="0" b="0"/>
            <wp:docPr id="3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06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E2FA6A">
      <w:pPr>
        <w:pStyle w:val="3"/>
      </w:pPr>
      <w:r>
        <w:rPr>
          <w:rFonts w:hint="eastAsia"/>
        </w:rPr>
        <w:t>注：流程草稿只能针对未发起的流程，点击存至流程草稿后，又发起，则不会存至流程草稿。</w:t>
      </w:r>
    </w:p>
    <w:bookmarkEnd w:id="3"/>
    <w:p w14:paraId="6F652025">
      <w:pPr>
        <w:pStyle w:val="4"/>
      </w:pPr>
      <w:bookmarkStart w:id="4" w:name="_Toc25372"/>
      <w:bookmarkStart w:id="5" w:name="流程审核退回时支持审计"/>
      <w:r>
        <w:rPr>
          <w:rFonts w:hint="eastAsia"/>
        </w:rPr>
        <w:t>3、流程审核退回时支持审计</w:t>
      </w:r>
      <w:bookmarkEnd w:id="4"/>
    </w:p>
    <w:p w14:paraId="55A99792">
      <w:pPr>
        <w:pStyle w:val="24"/>
      </w:pPr>
      <w:r>
        <w:rPr>
          <w:rFonts w:hint="eastAsia"/>
        </w:rPr>
        <w:t>本功能需要搭配CRM的”员工业务率准确度考核”功能一起使用。开始该功能后，业务管理平台可以将流程的审核信息报送给CRM，然后CRM可以根据数据再加工为统计报表等。支持对”驳回”类似审核的自定义。</w:t>
      </w:r>
    </w:p>
    <w:p w14:paraId="3B64E1BC">
      <w:pPr>
        <w:pStyle w:val="3"/>
      </w:pPr>
      <w:r>
        <w:rPr>
          <w:rFonts w:hint="eastAsia"/>
        </w:rPr>
        <w:t>开启该功能：联系我们运维同事，之后就可以在界面进行进一步设置</w:t>
      </w:r>
    </w:p>
    <w:p w14:paraId="45716FAE">
      <w:pPr>
        <w:pStyle w:val="3"/>
      </w:pPr>
      <w:r>
        <w:drawing>
          <wp:inline distT="0" distB="0" distL="114300" distR="114300">
            <wp:extent cx="5334000" cy="2027555"/>
            <wp:effectExtent l="0" t="0" r="0" b="0"/>
            <wp:docPr id="3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2760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FF82B5">
      <w:pPr>
        <w:pStyle w:val="3"/>
      </w:pPr>
      <w:r>
        <w:drawing>
          <wp:inline distT="0" distB="0" distL="114300" distR="114300">
            <wp:extent cx="5334000" cy="3357880"/>
            <wp:effectExtent l="0" t="0" r="0" b="0"/>
            <wp:docPr id="4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35816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9F1259">
      <w:pPr>
        <w:pStyle w:val="3"/>
      </w:pPr>
      <w:r>
        <w:drawing>
          <wp:inline distT="0" distB="0" distL="114300" distR="114300">
            <wp:extent cx="5334000" cy="4219575"/>
            <wp:effectExtent l="0" t="0" r="0" b="0"/>
            <wp:docPr id="4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21978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7D459B49">
      <w:pPr>
        <w:pStyle w:val="4"/>
      </w:pPr>
      <w:bookmarkStart w:id="6" w:name="_Toc4993"/>
      <w:bookmarkStart w:id="7" w:name="影像资料查询流程查询的资料批量导出权限控制"/>
      <w:r>
        <w:rPr>
          <w:rFonts w:hint="eastAsia"/>
        </w:rPr>
        <w:t>4、【影像资料查询】【流程查询】的资料批量导出权限控制</w:t>
      </w:r>
      <w:bookmarkEnd w:id="6"/>
    </w:p>
    <w:p w14:paraId="0F20E165">
      <w:pPr>
        <w:pStyle w:val="24"/>
      </w:pPr>
      <w:r>
        <w:drawing>
          <wp:inline distT="0" distB="0" distL="114300" distR="114300">
            <wp:extent cx="5334000" cy="3095625"/>
            <wp:effectExtent l="0" t="0" r="0" b="0"/>
            <wp:docPr id="4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9599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5C693B">
      <w:pPr>
        <w:pStyle w:val="3"/>
      </w:pPr>
      <w:r>
        <w:drawing>
          <wp:inline distT="0" distB="0" distL="114300" distR="114300">
            <wp:extent cx="5334000" cy="2130425"/>
            <wp:effectExtent l="0" t="0" r="0" b="0"/>
            <wp:docPr id="5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3047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5809EC">
      <w:pPr>
        <w:pStyle w:val="3"/>
      </w:pPr>
      <w:r>
        <w:drawing>
          <wp:inline distT="0" distB="0" distL="114300" distR="114300">
            <wp:extent cx="5334000" cy="1549400"/>
            <wp:effectExtent l="0" t="0" r="0" b="0"/>
            <wp:docPr id="5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4951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23E1E95A">
      <w:pPr>
        <w:pStyle w:val="4"/>
      </w:pPr>
      <w:bookmarkStart w:id="8" w:name="_Toc17489"/>
      <w:bookmarkStart w:id="9" w:name="查询条件支持ctp柜台的投资者属性"/>
      <w:r>
        <w:rPr>
          <w:rFonts w:hint="eastAsia"/>
        </w:rPr>
        <w:t>5、查询条件支持：CTP柜台的投资者属性</w:t>
      </w:r>
      <w:bookmarkEnd w:id="8"/>
    </w:p>
    <w:p w14:paraId="045957F3">
      <w:pPr>
        <w:pStyle w:val="24"/>
      </w:pPr>
      <w:r>
        <w:drawing>
          <wp:inline distT="0" distB="0" distL="114300" distR="114300">
            <wp:extent cx="5334000" cy="2814955"/>
            <wp:effectExtent l="0" t="0" r="0" b="0"/>
            <wp:docPr id="5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14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0875A8B2">
      <w:pPr>
        <w:pStyle w:val="4"/>
      </w:pPr>
      <w:bookmarkStart w:id="10" w:name="_Toc15571"/>
      <w:bookmarkStart w:id="11" w:name="影像资料查询页面中增加删除历史导入类文件功能"/>
      <w:r>
        <w:rPr>
          <w:rFonts w:hint="eastAsia"/>
        </w:rPr>
        <w:t>6、【影像资料查询】页面中，增加删除"历史导入"类文件功能</w:t>
      </w:r>
      <w:bookmarkEnd w:id="10"/>
    </w:p>
    <w:p w14:paraId="12DAF765">
      <w:pPr>
        <w:pStyle w:val="24"/>
      </w:pPr>
      <w:r>
        <w:rPr>
          <w:rFonts w:hint="eastAsia"/>
          <w:b/>
          <w:bCs/>
        </w:rPr>
        <w:t>需求产生背景：</w:t>
      </w:r>
      <w:r>
        <w:t xml:space="preserve"> </w:t>
      </w:r>
      <w:r>
        <w:rPr>
          <w:rFonts w:hint="eastAsia"/>
        </w:rPr>
        <w:t>上了新影像系统后，我们会帮忙把德索老影像系统（或者友商影像系统）的资料迁移进来。然后期货公司在新影像系统中对资料进行检查梳理时容易遇到，当发现历史资料是错误的时候，新影像系统是无法提供删除功能这么一个问题。</w:t>
      </w:r>
    </w:p>
    <w:p w14:paraId="44EF7CB9">
      <w:pPr>
        <w:pStyle w:val="3"/>
      </w:pPr>
      <w:r>
        <w:drawing>
          <wp:inline distT="0" distB="0" distL="114300" distR="114300">
            <wp:extent cx="5334000" cy="1477645"/>
            <wp:effectExtent l="0" t="0" r="0" b="0"/>
            <wp:docPr id="6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7814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ECF96D">
      <w:pPr>
        <w:pStyle w:val="3"/>
      </w:pPr>
      <w:r>
        <w:rPr>
          <w:rFonts w:hint="eastAsia"/>
          <w:b/>
          <w:bCs/>
        </w:rPr>
        <w:t>开启该删除权限方法：</w:t>
      </w:r>
    </w:p>
    <w:p w14:paraId="45B5D6A2">
      <w:pPr>
        <w:pStyle w:val="3"/>
      </w:pPr>
      <w:r>
        <w:drawing>
          <wp:inline distT="0" distB="0" distL="114300" distR="114300">
            <wp:extent cx="5334000" cy="1832610"/>
            <wp:effectExtent l="0" t="0" r="0" b="0"/>
            <wp:docPr id="6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3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p w14:paraId="2A375141">
      <w:pPr>
        <w:pStyle w:val="4"/>
      </w:pPr>
      <w:bookmarkStart w:id="12" w:name="_Toc32682"/>
      <w:bookmarkStart w:id="13" w:name="静态资源查看页面优化"/>
      <w:r>
        <w:rPr>
          <w:rFonts w:hint="eastAsia"/>
        </w:rPr>
        <w:t>7、【静态资源查看】页面优化</w:t>
      </w:r>
      <w:bookmarkEnd w:id="12"/>
    </w:p>
    <w:p w14:paraId="5774A669">
      <w:pPr>
        <w:pStyle w:val="24"/>
      </w:pPr>
      <w:r>
        <w:rPr>
          <w:rFonts w:hint="eastAsia"/>
        </w:rPr>
        <w:t>本次优化主要针对大数据量的查询，已测试的是千万级别。</w:t>
      </w:r>
    </w:p>
    <w:p w14:paraId="37BF312F">
      <w:pPr>
        <w:pStyle w:val="3"/>
      </w:pPr>
      <w:r>
        <w:rPr>
          <w:rFonts w:hint="eastAsia"/>
          <w:b/>
          <w:bCs/>
        </w:rPr>
        <w:t>注意：本次优化</w:t>
      </w:r>
      <w:r>
        <w:t xml:space="preserve"> </w:t>
      </w:r>
      <w:r>
        <w:rPr>
          <w:rFonts w:hint="eastAsia"/>
        </w:rPr>
        <w:t>会影响【静态资料查看】页面中的</w:t>
      </w:r>
      <w:r>
        <w:rPr>
          <w:rFonts w:hint="eastAsia"/>
          <w:b/>
          <w:bCs/>
        </w:rPr>
        <w:t>搜索功能</w:t>
      </w:r>
      <w:r>
        <w:rPr>
          <w:rFonts w:hint="eastAsia"/>
        </w:rPr>
        <w:t>。重新初始化资源后可以恢复。</w:t>
      </w:r>
    </w:p>
    <w:p w14:paraId="00BDBE0A">
      <w:pPr>
        <w:pStyle w:val="3"/>
      </w:pPr>
      <w:r>
        <w:drawing>
          <wp:inline distT="0" distB="0" distL="114300" distR="114300">
            <wp:extent cx="5334000" cy="1825625"/>
            <wp:effectExtent l="0" t="0" r="0" b="0"/>
            <wp:docPr id="6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256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C6FB10">
      <w:pPr>
        <w:numPr>
          <w:ilvl w:val="0"/>
          <w:numId w:val="1"/>
        </w:numPr>
      </w:pPr>
      <w:r>
        <w:rPr>
          <w:rFonts w:hint="eastAsia"/>
        </w:rPr>
        <w:t>其他改进</w:t>
      </w:r>
    </w:p>
    <w:p w14:paraId="5F8D2941">
      <w:pPr>
        <w:pStyle w:val="25"/>
        <w:numPr>
          <w:ilvl w:val="1"/>
          <w:numId w:val="2"/>
        </w:numPr>
      </w:pPr>
      <w:r>
        <w:rPr>
          <w:rFonts w:hint="eastAsia"/>
        </w:rPr>
        <w:t>【我的待办】页面中支持"流程发起时间"和"待办生成时间"两种排序</w:t>
      </w:r>
    </w:p>
    <w:p w14:paraId="308E1E64">
      <w:pPr>
        <w:pStyle w:val="24"/>
      </w:pPr>
      <w:r>
        <w:drawing>
          <wp:inline distT="0" distB="0" distL="114300" distR="114300">
            <wp:extent cx="5334000" cy="2517775"/>
            <wp:effectExtent l="0" t="0" r="0" b="0"/>
            <wp:docPr id="7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1778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 w14:paraId="618AC13F">
      <w:pPr>
        <w:pStyle w:val="4"/>
      </w:pPr>
      <w:bookmarkStart w:id="14" w:name="_Toc2690"/>
      <w:bookmarkStart w:id="15" w:name="批量上传时允许检查客户名称"/>
      <w:r>
        <w:rPr>
          <w:rFonts w:hint="eastAsia"/>
        </w:rPr>
        <w:t>8、【批量上传】时，允许检查客户名称</w:t>
      </w:r>
      <w:bookmarkEnd w:id="14"/>
    </w:p>
    <w:p w14:paraId="20D6E4FD">
      <w:pPr>
        <w:pStyle w:val="24"/>
      </w:pPr>
      <w:r>
        <w:rPr>
          <w:rFonts w:hint="eastAsia"/>
          <w:b/>
          <w:bCs/>
        </w:rPr>
        <w:t>需求产生背景：</w:t>
      </w:r>
      <w:r>
        <w:t xml:space="preserve"> </w:t>
      </w:r>
      <w:r>
        <w:rPr>
          <w:rFonts w:hint="eastAsia"/>
        </w:rPr>
        <w:t>有一些线下历史资料，在上传的时候发现，当初填写的资金账号是错误的，而要找出这些错误的文件也非常麻烦。所以，在上传时程序允许对客户名称的检查，用来辅助验证。</w:t>
      </w:r>
    </w:p>
    <w:p w14:paraId="63899EFE">
      <w:pPr>
        <w:pStyle w:val="3"/>
      </w:pPr>
      <w:r>
        <w:rPr>
          <w:rFonts w:hint="eastAsia"/>
        </w:rPr>
        <w:t>即上传的文件中既包含</w:t>
      </w:r>
      <w:r>
        <w:rPr>
          <w:rFonts w:hint="eastAsia"/>
          <w:b/>
          <w:bCs/>
        </w:rPr>
        <w:t>账号（或身份证）</w:t>
      </w:r>
      <w:r>
        <w:rPr>
          <w:rFonts w:hint="eastAsia"/>
        </w:rPr>
        <w:t>又包含</w:t>
      </w:r>
      <w:r>
        <w:rPr>
          <w:rFonts w:hint="eastAsia"/>
          <w:b/>
          <w:bCs/>
        </w:rPr>
        <w:t>客户名称</w:t>
      </w:r>
      <w:r>
        <w:rPr>
          <w:rFonts w:hint="eastAsia"/>
        </w:rPr>
        <w:t>，那么程序检测到</w:t>
      </w:r>
      <w:r>
        <w:rPr>
          <w:rFonts w:hint="eastAsia"/>
          <w:b/>
          <w:bCs/>
        </w:rPr>
        <w:t>账号的客户名称</w:t>
      </w:r>
      <w:r>
        <w:rPr>
          <w:rFonts w:hint="eastAsia"/>
        </w:rPr>
        <w:t>和</w:t>
      </w:r>
      <w:r>
        <w:rPr>
          <w:rFonts w:hint="eastAsia"/>
          <w:b/>
          <w:bCs/>
        </w:rPr>
        <w:t>文件名中的客户名称</w:t>
      </w:r>
      <w:r>
        <w:rPr>
          <w:rFonts w:hint="eastAsia"/>
        </w:rPr>
        <w:t>不一致时，会以</w:t>
      </w:r>
      <w:r>
        <w:rPr>
          <w:rFonts w:hint="eastAsia"/>
          <w:b/>
          <w:bCs/>
        </w:rPr>
        <w:t>警告</w:t>
      </w:r>
      <w:r>
        <w:rPr>
          <w:rFonts w:hint="eastAsia"/>
        </w:rPr>
        <w:t>的方式提示。</w:t>
      </w:r>
    </w:p>
    <w:p w14:paraId="443763E9">
      <w:pPr>
        <w:pStyle w:val="3"/>
      </w:pPr>
      <w:r>
        <w:drawing>
          <wp:inline distT="0" distB="0" distL="114300" distR="114300">
            <wp:extent cx="5334000" cy="4074795"/>
            <wp:effectExtent l="0" t="0" r="0" b="0"/>
            <wp:docPr id="7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7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836221">
      <w:pPr>
        <w:pStyle w:val="3"/>
      </w:pPr>
      <w:r>
        <w:rPr>
          <w:rFonts w:hint="eastAsia"/>
          <w:b/>
          <w:bCs/>
        </w:rPr>
        <w:t>该功能取决于压缩包提取规则的设置，也就是提取规则里面启用了</w:t>
      </w:r>
      <w:r>
        <w:t>customerName</w:t>
      </w:r>
      <w:r>
        <w:rPr>
          <w:rFonts w:hint="eastAsia"/>
          <w:b/>
          <w:bCs/>
        </w:rPr>
        <w:t>才会有效果</w:t>
      </w:r>
    </w:p>
    <w:p w14:paraId="3428C2EF">
      <w:pPr>
        <w:pStyle w:val="3"/>
      </w:pPr>
      <w:r>
        <w:drawing>
          <wp:inline distT="0" distB="0" distL="114300" distR="114300">
            <wp:extent cx="5334000" cy="2590800"/>
            <wp:effectExtent l="0" t="0" r="0" b="0"/>
            <wp:docPr id="7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911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0A99711"/>
    <w:multiLevelType w:val="multilevel"/>
    <w:tmpl w:val="00A99711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Letter"/>
      <w:lvlText w:val="%3."/>
      <w:lvlJc w:val="left"/>
      <w:pPr>
        <w:ind w:left="2160" w:hanging="360"/>
      </w:pPr>
    </w:lvl>
    <w:lvl w:ilvl="3" w:tentative="0">
      <w:start w:val="1"/>
      <w:numFmt w:val="lowerLetter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Letter"/>
      <w:lvlText w:val="%6."/>
      <w:lvlJc w:val="left"/>
      <w:pPr>
        <w:ind w:left="4320" w:hanging="360"/>
      </w:pPr>
    </w:lvl>
    <w:lvl w:ilvl="6" w:tentative="0">
      <w:start w:val="1"/>
      <w:numFmt w:val="lowerLetter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Letter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71D96E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toc 2"/>
    <w:basedOn w:val="1"/>
    <w:next w:val="1"/>
    <w:uiPriority w:val="0"/>
    <w:pPr>
      <w:ind w:left="420" w:leftChars="200"/>
    </w:pPr>
  </w:style>
  <w:style w:type="character" w:styleId="21">
    <w:name w:val="Hyperlink"/>
    <w:basedOn w:val="22"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qFormat/>
    <w:uiPriority w:val="0"/>
  </w:style>
  <w:style w:type="character" w:styleId="23">
    <w:name w:val="footnote reference"/>
    <w:basedOn w:val="22"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uiPriority w:val="0"/>
  </w:style>
  <w:style w:type="paragraph" w:customStyle="1" w:styleId="45">
    <w:name w:val="Table Caption"/>
    <w:basedOn w:val="12"/>
    <w:uiPriority w:val="0"/>
    <w:pPr>
      <w:keepNext/>
    </w:pPr>
  </w:style>
  <w:style w:type="paragraph" w:customStyle="1" w:styleId="46">
    <w:name w:val="Image Caption"/>
    <w:basedOn w:val="12"/>
    <w:uiPriority w:val="0"/>
  </w:style>
  <w:style w:type="paragraph" w:customStyle="1" w:styleId="47">
    <w:name w:val="Figure"/>
    <w:basedOn w:val="1"/>
    <w:uiPriority w:val="0"/>
  </w:style>
  <w:style w:type="paragraph" w:customStyle="1" w:styleId="48">
    <w:name w:val="Captioned Figure"/>
    <w:basedOn w:val="47"/>
    <w:qFormat/>
    <w:uiPriority w:val="0"/>
    <w:pPr>
      <w:keepNext/>
    </w:pPr>
  </w:style>
  <w:style w:type="character" w:customStyle="1" w:styleId="49">
    <w:name w:val="Verbatim Char"/>
    <w:basedOn w:val="22"/>
    <w:link w:val="50"/>
    <w:qFormat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uiPriority w:val="0"/>
    <w:pPr>
      <w:wordWrap w:val="0"/>
    </w:pPr>
  </w:style>
  <w:style w:type="character" w:customStyle="1" w:styleId="51">
    <w:name w:val="Section Number"/>
    <w:basedOn w:val="22"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qFormat/>
    <w:uiPriority w:val="0"/>
    <w:rPr>
      <w:b/>
      <w:color w:val="007020"/>
    </w:rPr>
  </w:style>
  <w:style w:type="character" w:customStyle="1" w:styleId="54">
    <w:name w:val="DataTypeTok"/>
    <w:basedOn w:val="49"/>
    <w:uiPriority w:val="0"/>
    <w:rPr>
      <w:color w:val="902000"/>
    </w:rPr>
  </w:style>
  <w:style w:type="character" w:customStyle="1" w:styleId="55">
    <w:name w:val="DecValTok"/>
    <w:basedOn w:val="49"/>
    <w:uiPriority w:val="0"/>
    <w:rPr>
      <w:color w:val="40A070"/>
    </w:rPr>
  </w:style>
  <w:style w:type="character" w:customStyle="1" w:styleId="56">
    <w:name w:val="BaseNTok"/>
    <w:basedOn w:val="49"/>
    <w:uiPriority w:val="0"/>
    <w:rPr>
      <w:color w:val="40A070"/>
    </w:rPr>
  </w:style>
  <w:style w:type="character" w:customStyle="1" w:styleId="57">
    <w:name w:val="FloatTok"/>
    <w:basedOn w:val="49"/>
    <w:qFormat/>
    <w:uiPriority w:val="0"/>
    <w:rPr>
      <w:color w:val="40A070"/>
    </w:rPr>
  </w:style>
  <w:style w:type="character" w:customStyle="1" w:styleId="58">
    <w:name w:val="ConstantTok"/>
    <w:basedOn w:val="49"/>
    <w:uiPriority w:val="0"/>
    <w:rPr>
      <w:color w:val="880000"/>
    </w:rPr>
  </w:style>
  <w:style w:type="character" w:customStyle="1" w:styleId="59">
    <w:name w:val="CharTok"/>
    <w:basedOn w:val="49"/>
    <w:qFormat/>
    <w:uiPriority w:val="0"/>
    <w:rPr>
      <w:color w:val="4070A0"/>
    </w:rPr>
  </w:style>
  <w:style w:type="character" w:customStyle="1" w:styleId="60">
    <w:name w:val="SpecialCharTok"/>
    <w:basedOn w:val="49"/>
    <w:uiPriority w:val="0"/>
    <w:rPr>
      <w:color w:val="4070A0"/>
    </w:rPr>
  </w:style>
  <w:style w:type="character" w:customStyle="1" w:styleId="61">
    <w:name w:val="StringTok"/>
    <w:basedOn w:val="49"/>
    <w:uiPriority w:val="0"/>
    <w:rPr>
      <w:color w:val="4070A0"/>
    </w:rPr>
  </w:style>
  <w:style w:type="character" w:customStyle="1" w:styleId="62">
    <w:name w:val="VerbatimStringTok"/>
    <w:basedOn w:val="49"/>
    <w:qFormat/>
    <w:uiPriority w:val="0"/>
    <w:rPr>
      <w:color w:val="4070A0"/>
    </w:rPr>
  </w:style>
  <w:style w:type="character" w:customStyle="1" w:styleId="63">
    <w:name w:val="SpecialStringTok"/>
    <w:basedOn w:val="49"/>
    <w:qFormat/>
    <w:uiPriority w:val="0"/>
    <w:rPr>
      <w:color w:val="BB6688"/>
    </w:rPr>
  </w:style>
  <w:style w:type="character" w:customStyle="1" w:styleId="64">
    <w:name w:val="ImportTok"/>
    <w:basedOn w:val="49"/>
    <w:qFormat/>
    <w:uiPriority w:val="0"/>
    <w:rPr>
      <w:b/>
      <w:color w:val="008000"/>
    </w:rPr>
  </w:style>
  <w:style w:type="character" w:customStyle="1" w:styleId="65">
    <w:name w:val="CommentTok"/>
    <w:basedOn w:val="49"/>
    <w:qFormat/>
    <w:uiPriority w:val="0"/>
    <w:rPr>
      <w:i/>
      <w:color w:val="60A0B0"/>
    </w:rPr>
  </w:style>
  <w:style w:type="character" w:customStyle="1" w:styleId="66">
    <w:name w:val="DocumentationTok"/>
    <w:basedOn w:val="49"/>
    <w:qFormat/>
    <w:uiPriority w:val="0"/>
    <w:rPr>
      <w:i/>
      <w:color w:val="BA2121"/>
    </w:rPr>
  </w:style>
  <w:style w:type="character" w:customStyle="1" w:styleId="67">
    <w:name w:val="AnnotationTok"/>
    <w:basedOn w:val="49"/>
    <w:qFormat/>
    <w:uiPriority w:val="0"/>
    <w:rPr>
      <w:b/>
      <w:i/>
      <w:color w:val="60A0B0"/>
    </w:rPr>
  </w:style>
  <w:style w:type="character" w:customStyle="1" w:styleId="68">
    <w:name w:val="CommentVarTok"/>
    <w:basedOn w:val="49"/>
    <w:uiPriority w:val="0"/>
    <w:rPr>
      <w:b/>
      <w:i/>
      <w:color w:val="60A0B0"/>
    </w:rPr>
  </w:style>
  <w:style w:type="character" w:customStyle="1" w:styleId="69">
    <w:name w:val="OtherTok"/>
    <w:basedOn w:val="49"/>
    <w:qFormat/>
    <w:uiPriority w:val="0"/>
    <w:rPr>
      <w:color w:val="007020"/>
    </w:rPr>
  </w:style>
  <w:style w:type="character" w:customStyle="1" w:styleId="70">
    <w:name w:val="FunctionTok"/>
    <w:basedOn w:val="49"/>
    <w:uiPriority w:val="0"/>
    <w:rPr>
      <w:color w:val="06287E"/>
    </w:rPr>
  </w:style>
  <w:style w:type="character" w:customStyle="1" w:styleId="71">
    <w:name w:val="VariableTok"/>
    <w:basedOn w:val="49"/>
    <w:uiPriority w:val="0"/>
    <w:rPr>
      <w:color w:val="19177C"/>
    </w:rPr>
  </w:style>
  <w:style w:type="character" w:customStyle="1" w:styleId="72">
    <w:name w:val="ControlFlowTok"/>
    <w:basedOn w:val="49"/>
    <w:uiPriority w:val="0"/>
    <w:rPr>
      <w:b/>
      <w:color w:val="007020"/>
    </w:rPr>
  </w:style>
  <w:style w:type="character" w:customStyle="1" w:styleId="73">
    <w:name w:val="OperatorTok"/>
    <w:basedOn w:val="49"/>
    <w:qFormat/>
    <w:uiPriority w:val="0"/>
    <w:rPr>
      <w:color w:val="666666"/>
    </w:rPr>
  </w:style>
  <w:style w:type="character" w:customStyle="1" w:styleId="74">
    <w:name w:val="BuiltInTok"/>
    <w:basedOn w:val="49"/>
    <w:uiPriority w:val="0"/>
    <w:rPr>
      <w:color w:val="008000"/>
    </w:rPr>
  </w:style>
  <w:style w:type="character" w:customStyle="1" w:styleId="75">
    <w:name w:val="ExtensionTok"/>
    <w:basedOn w:val="49"/>
    <w:uiPriority w:val="0"/>
  </w:style>
  <w:style w:type="character" w:customStyle="1" w:styleId="76">
    <w:name w:val="PreprocessorTok"/>
    <w:basedOn w:val="49"/>
    <w:uiPriority w:val="0"/>
    <w:rPr>
      <w:color w:val="BC7A00"/>
    </w:rPr>
  </w:style>
  <w:style w:type="character" w:customStyle="1" w:styleId="77">
    <w:name w:val="AttributeTok"/>
    <w:basedOn w:val="49"/>
    <w:qFormat/>
    <w:uiPriority w:val="0"/>
    <w:rPr>
      <w:color w:val="7D9029"/>
    </w:rPr>
  </w:style>
  <w:style w:type="character" w:customStyle="1" w:styleId="78">
    <w:name w:val="RegionMarkerTok"/>
    <w:basedOn w:val="49"/>
    <w:qFormat/>
    <w:uiPriority w:val="0"/>
  </w:style>
  <w:style w:type="character" w:customStyle="1" w:styleId="79">
    <w:name w:val="InformationTok"/>
    <w:basedOn w:val="49"/>
    <w:uiPriority w:val="0"/>
    <w:rPr>
      <w:b/>
      <w:i/>
      <w:color w:val="60A0B0"/>
    </w:rPr>
  </w:style>
  <w:style w:type="character" w:customStyle="1" w:styleId="80">
    <w:name w:val="WarningTok"/>
    <w:basedOn w:val="49"/>
    <w:qFormat/>
    <w:uiPriority w:val="0"/>
    <w:rPr>
      <w:b/>
      <w:i/>
      <w:color w:val="60A0B0"/>
    </w:rPr>
  </w:style>
  <w:style w:type="character" w:customStyle="1" w:styleId="81">
    <w:name w:val="AlertTok"/>
    <w:basedOn w:val="49"/>
    <w:uiPriority w:val="0"/>
    <w:rPr>
      <w:b/>
      <w:color w:val="FF0000"/>
    </w:rPr>
  </w:style>
  <w:style w:type="character" w:customStyle="1" w:styleId="82">
    <w:name w:val="ErrorTok"/>
    <w:basedOn w:val="49"/>
    <w:uiPriority w:val="0"/>
    <w:rPr>
      <w:b/>
      <w:color w:val="FF0000"/>
    </w:rPr>
  </w:style>
  <w:style w:type="character" w:customStyle="1" w:styleId="83">
    <w:name w:val="NormalTok"/>
    <w:basedOn w:val="4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2026-07-08T05:21:44Z</dcterms:modified>
  <dc:title>更新内容_v1.20210806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826D856092A0400CAC8BE4D831260032_12</vt:lpwstr>
  </property>
</Properties>
</file>