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id w:val="147473390"/>
        <w:docPartObj>
          <w:docPartGallery w:val="Table of Contents"/>
          <w:docPartUnique/>
        </w:docPartObj>
      </w:sdtPr>
      <w:sdtContent>
        <w:p w14:paraId="0CCC1948">
          <w:pPr>
            <w:pStyle w:val="54"/>
          </w:pPr>
          <w:bookmarkStart w:id="123" w:name="_GoBack"/>
          <w:bookmarkEnd w:id="123"/>
          <w:r>
            <w:rPr>
              <w:rFonts w:hint="eastAsia"/>
            </w:rPr>
            <w:t>目录</w:t>
          </w:r>
        </w:p>
        <w:p w14:paraId="1F307F18">
          <w:pPr>
            <w:pStyle w:val="17"/>
            <w:tabs>
              <w:tab w:val="right" w:leader="dot" w:pos="8640"/>
            </w:tabs>
          </w:pPr>
          <w:r>
            <w:fldChar w:fldCharType="begin"/>
          </w:r>
          <w:r>
            <w:instrText xml:space="preserve">TOC \o "1-3" \h \z \u</w:instrText>
          </w:r>
          <w:r>
            <w:fldChar w:fldCharType="separate"/>
          </w:r>
          <w:r>
            <w:fldChar w:fldCharType="begin"/>
          </w:r>
          <w:r>
            <w:instrText xml:space="preserve"> HYPERLINK \l _Toc1287 </w:instrText>
          </w:r>
          <w:r>
            <w:fldChar w:fldCharType="separate"/>
          </w:r>
          <w:r>
            <w:rPr>
              <w:rFonts w:hint="eastAsia"/>
            </w:rPr>
            <w:t>新佣金提成管理</w:t>
          </w:r>
          <w:r>
            <w:tab/>
          </w:r>
          <w:r>
            <w:fldChar w:fldCharType="begin"/>
          </w:r>
          <w:r>
            <w:instrText xml:space="preserve"> PAGEREF _Toc1287 \h </w:instrText>
          </w:r>
          <w:r>
            <w:fldChar w:fldCharType="separate"/>
          </w:r>
          <w:r>
            <w:t>3</w:t>
          </w:r>
          <w:r>
            <w:fldChar w:fldCharType="end"/>
          </w:r>
          <w:r>
            <w:fldChar w:fldCharType="end"/>
          </w:r>
        </w:p>
        <w:p w14:paraId="1EF5F447">
          <w:pPr>
            <w:pStyle w:val="20"/>
            <w:tabs>
              <w:tab w:val="right" w:leader="dot" w:pos="8640"/>
            </w:tabs>
          </w:pPr>
          <w:r>
            <w:fldChar w:fldCharType="begin"/>
          </w:r>
          <w:r>
            <w:instrText xml:space="preserve"> HYPERLINK \l _Toc14156 </w:instrText>
          </w:r>
          <w:r>
            <w:fldChar w:fldCharType="separate"/>
          </w:r>
          <w:r>
            <w:rPr>
              <w:rFonts w:hint="eastAsia"/>
            </w:rPr>
            <w:t>一、背景说明</w:t>
          </w:r>
          <w:r>
            <w:tab/>
          </w:r>
          <w:r>
            <w:fldChar w:fldCharType="begin"/>
          </w:r>
          <w:r>
            <w:instrText xml:space="preserve"> PAGEREF _Toc14156 \h </w:instrText>
          </w:r>
          <w:r>
            <w:fldChar w:fldCharType="separate"/>
          </w:r>
          <w:r>
            <w:t>3</w:t>
          </w:r>
          <w:r>
            <w:fldChar w:fldCharType="end"/>
          </w:r>
          <w:r>
            <w:fldChar w:fldCharType="end"/>
          </w:r>
        </w:p>
        <w:p w14:paraId="2CC4BEE0">
          <w:pPr>
            <w:pStyle w:val="20"/>
            <w:tabs>
              <w:tab w:val="right" w:leader="dot" w:pos="8640"/>
            </w:tabs>
          </w:pPr>
          <w:r>
            <w:fldChar w:fldCharType="begin"/>
          </w:r>
          <w:r>
            <w:instrText xml:space="preserve"> HYPERLINK \l _Toc9636 </w:instrText>
          </w:r>
          <w:r>
            <w:fldChar w:fldCharType="separate"/>
          </w:r>
          <w:r>
            <w:rPr>
              <w:rFonts w:hint="eastAsia"/>
            </w:rPr>
            <w:t>二、参数管理</w:t>
          </w:r>
          <w:r>
            <w:tab/>
          </w:r>
          <w:r>
            <w:fldChar w:fldCharType="begin"/>
          </w:r>
          <w:r>
            <w:instrText xml:space="preserve"> PAGEREF _Toc9636 \h </w:instrText>
          </w:r>
          <w:r>
            <w:fldChar w:fldCharType="separate"/>
          </w:r>
          <w:r>
            <w:t>3</w:t>
          </w:r>
          <w:r>
            <w:fldChar w:fldCharType="end"/>
          </w:r>
          <w:r>
            <w:fldChar w:fldCharType="end"/>
          </w:r>
        </w:p>
        <w:p w14:paraId="06BC24FA">
          <w:pPr>
            <w:pStyle w:val="14"/>
            <w:tabs>
              <w:tab w:val="right" w:leader="dot" w:pos="8640"/>
            </w:tabs>
          </w:pPr>
          <w:r>
            <w:fldChar w:fldCharType="begin"/>
          </w:r>
          <w:r>
            <w:instrText xml:space="preserve"> HYPERLINK \l _Toc14037 </w:instrText>
          </w:r>
          <w:r>
            <w:fldChar w:fldCharType="separate"/>
          </w:r>
          <w:r>
            <w:t xml:space="preserve">1. </w:t>
          </w:r>
          <w:r>
            <w:rPr>
              <w:rFonts w:hint="eastAsia"/>
            </w:rPr>
            <w:t>投资者保障基金比例设置</w:t>
          </w:r>
          <w:r>
            <w:tab/>
          </w:r>
          <w:r>
            <w:fldChar w:fldCharType="begin"/>
          </w:r>
          <w:r>
            <w:instrText xml:space="preserve"> PAGEREF _Toc14037 \h </w:instrText>
          </w:r>
          <w:r>
            <w:fldChar w:fldCharType="separate"/>
          </w:r>
          <w:r>
            <w:t>4</w:t>
          </w:r>
          <w:r>
            <w:fldChar w:fldCharType="end"/>
          </w:r>
          <w:r>
            <w:fldChar w:fldCharType="end"/>
          </w:r>
        </w:p>
        <w:p w14:paraId="7FA5C846">
          <w:pPr>
            <w:pStyle w:val="14"/>
            <w:tabs>
              <w:tab w:val="right" w:leader="dot" w:pos="8640"/>
            </w:tabs>
          </w:pPr>
          <w:r>
            <w:fldChar w:fldCharType="begin"/>
          </w:r>
          <w:r>
            <w:instrText xml:space="preserve"> HYPERLINK \l _Toc27522 </w:instrText>
          </w:r>
          <w:r>
            <w:fldChar w:fldCharType="separate"/>
          </w:r>
          <w:r>
            <w:t xml:space="preserve">2. </w:t>
          </w:r>
          <w:r>
            <w:rPr>
              <w:rFonts w:hint="eastAsia"/>
            </w:rPr>
            <w:t>公司利率维护</w:t>
          </w:r>
          <w:r>
            <w:tab/>
          </w:r>
          <w:r>
            <w:fldChar w:fldCharType="begin"/>
          </w:r>
          <w:r>
            <w:instrText xml:space="preserve"> PAGEREF _Toc27522 \h </w:instrText>
          </w:r>
          <w:r>
            <w:fldChar w:fldCharType="separate"/>
          </w:r>
          <w:r>
            <w:t>4</w:t>
          </w:r>
          <w:r>
            <w:fldChar w:fldCharType="end"/>
          </w:r>
          <w:r>
            <w:fldChar w:fldCharType="end"/>
          </w:r>
        </w:p>
        <w:p w14:paraId="74F18C1A">
          <w:pPr>
            <w:pStyle w:val="14"/>
            <w:tabs>
              <w:tab w:val="right" w:leader="dot" w:pos="8640"/>
            </w:tabs>
          </w:pPr>
          <w:r>
            <w:fldChar w:fldCharType="begin"/>
          </w:r>
          <w:r>
            <w:instrText xml:space="preserve"> HYPERLINK \l _Toc24041 </w:instrText>
          </w:r>
          <w:r>
            <w:fldChar w:fldCharType="separate"/>
          </w:r>
          <w:r>
            <w:t xml:space="preserve">3. </w:t>
          </w:r>
          <w:r>
            <w:rPr>
              <w:rFonts w:hint="eastAsia"/>
            </w:rPr>
            <w:t>交易所年利率维护</w:t>
          </w:r>
          <w:r>
            <w:tab/>
          </w:r>
          <w:r>
            <w:fldChar w:fldCharType="begin"/>
          </w:r>
          <w:r>
            <w:instrText xml:space="preserve"> PAGEREF _Toc24041 \h </w:instrText>
          </w:r>
          <w:r>
            <w:fldChar w:fldCharType="separate"/>
          </w:r>
          <w:r>
            <w:t>5</w:t>
          </w:r>
          <w:r>
            <w:fldChar w:fldCharType="end"/>
          </w:r>
          <w:r>
            <w:fldChar w:fldCharType="end"/>
          </w:r>
        </w:p>
        <w:p w14:paraId="0DBA2192">
          <w:pPr>
            <w:pStyle w:val="20"/>
            <w:tabs>
              <w:tab w:val="right" w:leader="dot" w:pos="8640"/>
            </w:tabs>
          </w:pPr>
          <w:r>
            <w:fldChar w:fldCharType="begin"/>
          </w:r>
          <w:r>
            <w:instrText xml:space="preserve"> HYPERLINK \l _Toc14810 </w:instrText>
          </w:r>
          <w:r>
            <w:fldChar w:fldCharType="separate"/>
          </w:r>
          <w:r>
            <w:rPr>
              <w:rFonts w:hint="eastAsia"/>
            </w:rPr>
            <w:t>三、软件费用计费</w:t>
          </w:r>
          <w:r>
            <w:tab/>
          </w:r>
          <w:r>
            <w:fldChar w:fldCharType="begin"/>
          </w:r>
          <w:r>
            <w:instrText xml:space="preserve"> PAGEREF _Toc14810 \h </w:instrText>
          </w:r>
          <w:r>
            <w:fldChar w:fldCharType="separate"/>
          </w:r>
          <w:r>
            <w:t>6</w:t>
          </w:r>
          <w:r>
            <w:fldChar w:fldCharType="end"/>
          </w:r>
          <w:r>
            <w:fldChar w:fldCharType="end"/>
          </w:r>
        </w:p>
        <w:p w14:paraId="053FF804">
          <w:pPr>
            <w:pStyle w:val="14"/>
            <w:tabs>
              <w:tab w:val="right" w:leader="dot" w:pos="8640"/>
            </w:tabs>
          </w:pPr>
          <w:r>
            <w:fldChar w:fldCharType="begin"/>
          </w:r>
          <w:r>
            <w:instrText xml:space="preserve"> HYPERLINK \l _Toc8009 </w:instrText>
          </w:r>
          <w:r>
            <w:fldChar w:fldCharType="separate"/>
          </w:r>
          <w:r>
            <w:t xml:space="preserve">1. </w:t>
          </w:r>
          <w:r>
            <w:rPr>
              <w:rFonts w:hint="eastAsia"/>
            </w:rPr>
            <w:t>终端特征码维护</w:t>
          </w:r>
          <w:r>
            <w:tab/>
          </w:r>
          <w:r>
            <w:fldChar w:fldCharType="begin"/>
          </w:r>
          <w:r>
            <w:instrText xml:space="preserve"> PAGEREF _Toc8009 \h </w:instrText>
          </w:r>
          <w:r>
            <w:fldChar w:fldCharType="separate"/>
          </w:r>
          <w:r>
            <w:t>6</w:t>
          </w:r>
          <w:r>
            <w:fldChar w:fldCharType="end"/>
          </w:r>
          <w:r>
            <w:fldChar w:fldCharType="end"/>
          </w:r>
        </w:p>
        <w:p w14:paraId="1AE3AA2E">
          <w:pPr>
            <w:pStyle w:val="14"/>
            <w:tabs>
              <w:tab w:val="right" w:leader="dot" w:pos="8640"/>
            </w:tabs>
          </w:pPr>
          <w:r>
            <w:fldChar w:fldCharType="begin"/>
          </w:r>
          <w:r>
            <w:instrText xml:space="preserve"> HYPERLINK \l _Toc2855 </w:instrText>
          </w:r>
          <w:r>
            <w:fldChar w:fldCharType="separate"/>
          </w:r>
          <w:r>
            <w:t xml:space="preserve">2. </w:t>
          </w:r>
          <w:r>
            <w:rPr>
              <w:rFonts w:hint="eastAsia"/>
            </w:rPr>
            <w:t>投资者终端计费信息维护</w:t>
          </w:r>
          <w:r>
            <w:tab/>
          </w:r>
          <w:r>
            <w:fldChar w:fldCharType="begin"/>
          </w:r>
          <w:r>
            <w:instrText xml:space="preserve"> PAGEREF _Toc2855 \h </w:instrText>
          </w:r>
          <w:r>
            <w:fldChar w:fldCharType="separate"/>
          </w:r>
          <w:r>
            <w:t>7</w:t>
          </w:r>
          <w:r>
            <w:fldChar w:fldCharType="end"/>
          </w:r>
          <w:r>
            <w:fldChar w:fldCharType="end"/>
          </w:r>
        </w:p>
        <w:p w14:paraId="1BD4DC75">
          <w:pPr>
            <w:pStyle w:val="14"/>
            <w:tabs>
              <w:tab w:val="right" w:leader="dot" w:pos="8640"/>
            </w:tabs>
          </w:pPr>
          <w:r>
            <w:fldChar w:fldCharType="begin"/>
          </w:r>
          <w:r>
            <w:instrText xml:space="preserve"> HYPERLINK \l _Toc6970 </w:instrText>
          </w:r>
          <w:r>
            <w:fldChar w:fldCharType="separate"/>
          </w:r>
          <w:r>
            <w:t xml:space="preserve">3. </w:t>
          </w:r>
          <w:r>
            <w:rPr>
              <w:rFonts w:hint="eastAsia"/>
            </w:rPr>
            <w:t>投资者终端计费信息审核</w:t>
          </w:r>
          <w:r>
            <w:tab/>
          </w:r>
          <w:r>
            <w:fldChar w:fldCharType="begin"/>
          </w:r>
          <w:r>
            <w:instrText xml:space="preserve"> PAGEREF _Toc6970 \h </w:instrText>
          </w:r>
          <w:r>
            <w:fldChar w:fldCharType="separate"/>
          </w:r>
          <w:r>
            <w:t>9</w:t>
          </w:r>
          <w:r>
            <w:fldChar w:fldCharType="end"/>
          </w:r>
          <w:r>
            <w:fldChar w:fldCharType="end"/>
          </w:r>
        </w:p>
        <w:p w14:paraId="497637DC">
          <w:pPr>
            <w:pStyle w:val="14"/>
            <w:tabs>
              <w:tab w:val="right" w:leader="dot" w:pos="8640"/>
            </w:tabs>
          </w:pPr>
          <w:r>
            <w:fldChar w:fldCharType="begin"/>
          </w:r>
          <w:r>
            <w:instrText xml:space="preserve"> HYPERLINK \l _Toc14191 </w:instrText>
          </w:r>
          <w:r>
            <w:fldChar w:fldCharType="separate"/>
          </w:r>
          <w:r>
            <w:t xml:space="preserve">4. </w:t>
          </w:r>
          <w:r>
            <w:rPr>
              <w:rFonts w:hint="eastAsia"/>
            </w:rPr>
            <w:t>投资者终端计费信息查询</w:t>
          </w:r>
          <w:r>
            <w:tab/>
          </w:r>
          <w:r>
            <w:fldChar w:fldCharType="begin"/>
          </w:r>
          <w:r>
            <w:instrText xml:space="preserve"> PAGEREF _Toc14191 \h </w:instrText>
          </w:r>
          <w:r>
            <w:fldChar w:fldCharType="separate"/>
          </w:r>
          <w:r>
            <w:t>9</w:t>
          </w:r>
          <w:r>
            <w:fldChar w:fldCharType="end"/>
          </w:r>
          <w:r>
            <w:fldChar w:fldCharType="end"/>
          </w:r>
        </w:p>
        <w:p w14:paraId="51C3859C">
          <w:pPr>
            <w:pStyle w:val="14"/>
            <w:tabs>
              <w:tab w:val="right" w:leader="dot" w:pos="8640"/>
            </w:tabs>
          </w:pPr>
          <w:r>
            <w:fldChar w:fldCharType="begin"/>
          </w:r>
          <w:r>
            <w:instrText xml:space="preserve"> HYPERLINK \l _Toc26419 </w:instrText>
          </w:r>
          <w:r>
            <w:fldChar w:fldCharType="separate"/>
          </w:r>
          <w:r>
            <w:t xml:space="preserve">5. </w:t>
          </w:r>
          <w:r>
            <w:rPr>
              <w:rFonts w:hint="eastAsia"/>
            </w:rPr>
            <w:t>软件费用查询</w:t>
          </w:r>
          <w:r>
            <w:tab/>
          </w:r>
          <w:r>
            <w:fldChar w:fldCharType="begin"/>
          </w:r>
          <w:r>
            <w:instrText xml:space="preserve"> PAGEREF _Toc26419 \h </w:instrText>
          </w:r>
          <w:r>
            <w:fldChar w:fldCharType="separate"/>
          </w:r>
          <w:r>
            <w:t>10</w:t>
          </w:r>
          <w:r>
            <w:fldChar w:fldCharType="end"/>
          </w:r>
          <w:r>
            <w:fldChar w:fldCharType="end"/>
          </w:r>
        </w:p>
        <w:p w14:paraId="635C4FB1">
          <w:pPr>
            <w:pStyle w:val="14"/>
            <w:tabs>
              <w:tab w:val="right" w:leader="dot" w:pos="8640"/>
            </w:tabs>
          </w:pPr>
          <w:r>
            <w:fldChar w:fldCharType="begin"/>
          </w:r>
          <w:r>
            <w:instrText xml:space="preserve"> HYPERLINK \l _Toc19884 </w:instrText>
          </w:r>
          <w:r>
            <w:fldChar w:fldCharType="separate"/>
          </w:r>
          <w:r>
            <w:t xml:space="preserve">6. </w:t>
          </w:r>
          <w:r>
            <w:rPr>
              <w:rFonts w:hint="eastAsia"/>
            </w:rPr>
            <w:t>软件费用计算</w:t>
          </w:r>
          <w:r>
            <w:tab/>
          </w:r>
          <w:r>
            <w:fldChar w:fldCharType="begin"/>
          </w:r>
          <w:r>
            <w:instrText xml:space="preserve"> PAGEREF _Toc19884 \h </w:instrText>
          </w:r>
          <w:r>
            <w:fldChar w:fldCharType="separate"/>
          </w:r>
          <w:r>
            <w:t>10</w:t>
          </w:r>
          <w:r>
            <w:fldChar w:fldCharType="end"/>
          </w:r>
          <w:r>
            <w:fldChar w:fldCharType="end"/>
          </w:r>
        </w:p>
        <w:p w14:paraId="3057BBA8">
          <w:pPr>
            <w:pStyle w:val="20"/>
            <w:tabs>
              <w:tab w:val="right" w:leader="dot" w:pos="8640"/>
            </w:tabs>
          </w:pPr>
          <w:r>
            <w:fldChar w:fldCharType="begin"/>
          </w:r>
          <w:r>
            <w:instrText xml:space="preserve"> HYPERLINK \l _Toc28709 </w:instrText>
          </w:r>
          <w:r>
            <w:fldChar w:fldCharType="separate"/>
          </w:r>
          <w:r>
            <w:rPr>
              <w:rFonts w:hint="eastAsia"/>
            </w:rPr>
            <w:t>四、居间人管理模块</w:t>
          </w:r>
          <w:r>
            <w:t xml:space="preserve"> </w:t>
          </w:r>
          <w:r>
            <w:rPr>
              <w:rFonts w:hint="eastAsia"/>
            </w:rPr>
            <w:t>使用说明</w:t>
          </w:r>
          <w:r>
            <w:tab/>
          </w:r>
          <w:r>
            <w:fldChar w:fldCharType="begin"/>
          </w:r>
          <w:r>
            <w:instrText xml:space="preserve"> PAGEREF _Toc28709 \h </w:instrText>
          </w:r>
          <w:r>
            <w:fldChar w:fldCharType="separate"/>
          </w:r>
          <w:r>
            <w:t>10</w:t>
          </w:r>
          <w:r>
            <w:fldChar w:fldCharType="end"/>
          </w:r>
          <w:r>
            <w:fldChar w:fldCharType="end"/>
          </w:r>
        </w:p>
        <w:p w14:paraId="0E37B691">
          <w:pPr>
            <w:pStyle w:val="14"/>
            <w:tabs>
              <w:tab w:val="right" w:leader="dot" w:pos="8640"/>
            </w:tabs>
          </w:pPr>
          <w:r>
            <w:fldChar w:fldCharType="begin"/>
          </w:r>
          <w:r>
            <w:instrText xml:space="preserve"> HYPERLINK \l _Toc8575 </w:instrText>
          </w:r>
          <w:r>
            <w:fldChar w:fldCharType="separate"/>
          </w:r>
          <w:r>
            <w:t xml:space="preserve">1. </w:t>
          </w:r>
          <w:r>
            <w:rPr>
              <w:rFonts w:hint="eastAsia"/>
            </w:rPr>
            <w:t>居间人信息管理</w:t>
          </w:r>
          <w:r>
            <w:tab/>
          </w:r>
          <w:r>
            <w:fldChar w:fldCharType="begin"/>
          </w:r>
          <w:r>
            <w:instrText xml:space="preserve"> PAGEREF _Toc8575 \h </w:instrText>
          </w:r>
          <w:r>
            <w:fldChar w:fldCharType="separate"/>
          </w:r>
          <w:r>
            <w:t>12</w:t>
          </w:r>
          <w:r>
            <w:fldChar w:fldCharType="end"/>
          </w:r>
          <w:r>
            <w:fldChar w:fldCharType="end"/>
          </w:r>
        </w:p>
        <w:p w14:paraId="16E2F047">
          <w:pPr>
            <w:pStyle w:val="14"/>
            <w:tabs>
              <w:tab w:val="right" w:leader="dot" w:pos="8640"/>
            </w:tabs>
          </w:pPr>
          <w:r>
            <w:fldChar w:fldCharType="begin"/>
          </w:r>
          <w:r>
            <w:instrText xml:space="preserve"> HYPERLINK \l _Toc13267 </w:instrText>
          </w:r>
          <w:r>
            <w:fldChar w:fldCharType="separate"/>
          </w:r>
          <w:r>
            <w:t xml:space="preserve">2. </w:t>
          </w:r>
          <w:r>
            <w:rPr>
              <w:rFonts w:hint="eastAsia"/>
            </w:rPr>
            <w:t>居间人业绩关系管理</w:t>
          </w:r>
          <w:r>
            <w:tab/>
          </w:r>
          <w:r>
            <w:fldChar w:fldCharType="begin"/>
          </w:r>
          <w:r>
            <w:instrText xml:space="preserve"> PAGEREF _Toc13267 \h </w:instrText>
          </w:r>
          <w:r>
            <w:fldChar w:fldCharType="separate"/>
          </w:r>
          <w:r>
            <w:t>23</w:t>
          </w:r>
          <w:r>
            <w:fldChar w:fldCharType="end"/>
          </w:r>
          <w:r>
            <w:fldChar w:fldCharType="end"/>
          </w:r>
        </w:p>
        <w:p w14:paraId="4B2D334F">
          <w:pPr>
            <w:pStyle w:val="14"/>
            <w:tabs>
              <w:tab w:val="right" w:leader="dot" w:pos="8640"/>
            </w:tabs>
          </w:pPr>
          <w:r>
            <w:fldChar w:fldCharType="begin"/>
          </w:r>
          <w:r>
            <w:instrText xml:space="preserve"> HYPERLINK \l _Toc30624 </w:instrText>
          </w:r>
          <w:r>
            <w:fldChar w:fldCharType="separate"/>
          </w:r>
          <w:r>
            <w:t xml:space="preserve">3. </w:t>
          </w:r>
          <w:r>
            <w:rPr>
              <w:rFonts w:hint="eastAsia"/>
            </w:rPr>
            <w:t>居间业绩公式管理</w:t>
          </w:r>
          <w:r>
            <w:tab/>
          </w:r>
          <w:r>
            <w:fldChar w:fldCharType="begin"/>
          </w:r>
          <w:r>
            <w:instrText xml:space="preserve"> PAGEREF _Toc30624 \h </w:instrText>
          </w:r>
          <w:r>
            <w:fldChar w:fldCharType="separate"/>
          </w:r>
          <w:r>
            <w:t>32</w:t>
          </w:r>
          <w:r>
            <w:fldChar w:fldCharType="end"/>
          </w:r>
          <w:r>
            <w:fldChar w:fldCharType="end"/>
          </w:r>
        </w:p>
        <w:p w14:paraId="1D291073">
          <w:pPr>
            <w:pStyle w:val="14"/>
            <w:tabs>
              <w:tab w:val="right" w:leader="dot" w:pos="8640"/>
            </w:tabs>
          </w:pPr>
          <w:r>
            <w:fldChar w:fldCharType="begin"/>
          </w:r>
          <w:r>
            <w:instrText xml:space="preserve"> HYPERLINK \l _Toc12817 </w:instrText>
          </w:r>
          <w:r>
            <w:fldChar w:fldCharType="separate"/>
          </w:r>
          <w:r>
            <w:t xml:space="preserve">4. </w:t>
          </w:r>
          <w:r>
            <w:rPr>
              <w:rFonts w:hint="eastAsia"/>
            </w:rPr>
            <w:t>业绩报表</w:t>
          </w:r>
          <w:r>
            <w:tab/>
          </w:r>
          <w:r>
            <w:fldChar w:fldCharType="begin"/>
          </w:r>
          <w:r>
            <w:instrText xml:space="preserve"> PAGEREF _Toc12817 \h </w:instrText>
          </w:r>
          <w:r>
            <w:fldChar w:fldCharType="separate"/>
          </w:r>
          <w:r>
            <w:t>39</w:t>
          </w:r>
          <w:r>
            <w:fldChar w:fldCharType="end"/>
          </w:r>
          <w:r>
            <w:fldChar w:fldCharType="end"/>
          </w:r>
        </w:p>
        <w:p w14:paraId="279C8F38">
          <w:pPr>
            <w:pStyle w:val="14"/>
            <w:tabs>
              <w:tab w:val="right" w:leader="dot" w:pos="8640"/>
            </w:tabs>
          </w:pPr>
          <w:r>
            <w:fldChar w:fldCharType="begin"/>
          </w:r>
          <w:r>
            <w:instrText xml:space="preserve"> HYPERLINK \l _Toc20131 </w:instrText>
          </w:r>
          <w:r>
            <w:fldChar w:fldCharType="separate"/>
          </w:r>
          <w:r>
            <w:t xml:space="preserve">5. </w:t>
          </w:r>
          <w:r>
            <w:rPr>
              <w:rFonts w:hint="eastAsia"/>
            </w:rPr>
            <w:t>防范利益冲突筛查</w:t>
          </w:r>
          <w:r>
            <w:tab/>
          </w:r>
          <w:r>
            <w:fldChar w:fldCharType="begin"/>
          </w:r>
          <w:r>
            <w:instrText xml:space="preserve"> PAGEREF _Toc20131 \h </w:instrText>
          </w:r>
          <w:r>
            <w:fldChar w:fldCharType="separate"/>
          </w:r>
          <w:r>
            <w:t>39</w:t>
          </w:r>
          <w:r>
            <w:fldChar w:fldCharType="end"/>
          </w:r>
          <w:r>
            <w:fldChar w:fldCharType="end"/>
          </w:r>
        </w:p>
        <w:p w14:paraId="6090B07A">
          <w:pPr>
            <w:pStyle w:val="14"/>
            <w:tabs>
              <w:tab w:val="right" w:leader="dot" w:pos="8640"/>
            </w:tabs>
          </w:pPr>
          <w:r>
            <w:fldChar w:fldCharType="begin"/>
          </w:r>
          <w:r>
            <w:instrText xml:space="preserve"> HYPERLINK \l _Toc15596 </w:instrText>
          </w:r>
          <w:r>
            <w:fldChar w:fldCharType="separate"/>
          </w:r>
          <w:r>
            <w:t xml:space="preserve">6. </w:t>
          </w:r>
          <w:r>
            <w:rPr>
              <w:rFonts w:hint="eastAsia"/>
            </w:rPr>
            <w:t>居间客户回访管理</w:t>
          </w:r>
          <w:r>
            <w:tab/>
          </w:r>
          <w:r>
            <w:fldChar w:fldCharType="begin"/>
          </w:r>
          <w:r>
            <w:instrText xml:space="preserve"> PAGEREF _Toc15596 \h </w:instrText>
          </w:r>
          <w:r>
            <w:fldChar w:fldCharType="separate"/>
          </w:r>
          <w:r>
            <w:t>43</w:t>
          </w:r>
          <w:r>
            <w:fldChar w:fldCharType="end"/>
          </w:r>
          <w:r>
            <w:fldChar w:fldCharType="end"/>
          </w:r>
        </w:p>
        <w:p w14:paraId="5FD0C14A">
          <w:pPr>
            <w:pStyle w:val="20"/>
            <w:tabs>
              <w:tab w:val="right" w:leader="dot" w:pos="8640"/>
            </w:tabs>
          </w:pPr>
          <w:r>
            <w:fldChar w:fldCharType="begin"/>
          </w:r>
          <w:r>
            <w:instrText xml:space="preserve"> HYPERLINK \l _Toc28425 </w:instrText>
          </w:r>
          <w:r>
            <w:fldChar w:fldCharType="separate"/>
          </w:r>
          <w:r>
            <w:rPr>
              <w:rFonts w:hint="eastAsia"/>
            </w:rPr>
            <w:t>五、员工管理模块</w:t>
          </w:r>
          <w:r>
            <w:t xml:space="preserve"> </w:t>
          </w:r>
          <w:r>
            <w:rPr>
              <w:rFonts w:hint="eastAsia"/>
            </w:rPr>
            <w:t>使用说明</w:t>
          </w:r>
          <w:r>
            <w:tab/>
          </w:r>
          <w:r>
            <w:fldChar w:fldCharType="begin"/>
          </w:r>
          <w:r>
            <w:instrText xml:space="preserve"> PAGEREF _Toc28425 \h </w:instrText>
          </w:r>
          <w:r>
            <w:fldChar w:fldCharType="separate"/>
          </w:r>
          <w:r>
            <w:t>50</w:t>
          </w:r>
          <w:r>
            <w:fldChar w:fldCharType="end"/>
          </w:r>
          <w:r>
            <w:fldChar w:fldCharType="end"/>
          </w:r>
        </w:p>
        <w:p w14:paraId="52035ADC">
          <w:pPr>
            <w:pStyle w:val="14"/>
            <w:tabs>
              <w:tab w:val="right" w:leader="dot" w:pos="8640"/>
            </w:tabs>
          </w:pPr>
          <w:r>
            <w:fldChar w:fldCharType="begin"/>
          </w:r>
          <w:r>
            <w:instrText xml:space="preserve"> HYPERLINK \l _Toc18171 </w:instrText>
          </w:r>
          <w:r>
            <w:fldChar w:fldCharType="separate"/>
          </w:r>
          <w:r>
            <w:t xml:space="preserve">1. </w:t>
          </w:r>
          <w:r>
            <w:rPr>
              <w:rFonts w:hint="eastAsia"/>
            </w:rPr>
            <w:t>员工信息管理</w:t>
          </w:r>
          <w:r>
            <w:tab/>
          </w:r>
          <w:r>
            <w:fldChar w:fldCharType="begin"/>
          </w:r>
          <w:r>
            <w:instrText xml:space="preserve"> PAGEREF _Toc18171 \h </w:instrText>
          </w:r>
          <w:r>
            <w:fldChar w:fldCharType="separate"/>
          </w:r>
          <w:r>
            <w:t>50</w:t>
          </w:r>
          <w:r>
            <w:fldChar w:fldCharType="end"/>
          </w:r>
          <w:r>
            <w:fldChar w:fldCharType="end"/>
          </w:r>
        </w:p>
        <w:p w14:paraId="7C1C4104">
          <w:pPr>
            <w:pStyle w:val="14"/>
            <w:tabs>
              <w:tab w:val="right" w:leader="dot" w:pos="8640"/>
            </w:tabs>
          </w:pPr>
          <w:r>
            <w:fldChar w:fldCharType="begin"/>
          </w:r>
          <w:r>
            <w:instrText xml:space="preserve"> HYPERLINK \l _Toc1207 </w:instrText>
          </w:r>
          <w:r>
            <w:fldChar w:fldCharType="separate"/>
          </w:r>
          <w:r>
            <w:t xml:space="preserve">2. </w:t>
          </w:r>
          <w:r>
            <w:rPr>
              <w:rFonts w:hint="eastAsia"/>
            </w:rPr>
            <w:t>员工业绩关系管理</w:t>
          </w:r>
          <w:r>
            <w:tab/>
          </w:r>
          <w:r>
            <w:fldChar w:fldCharType="begin"/>
          </w:r>
          <w:r>
            <w:instrText xml:space="preserve"> PAGEREF _Toc1207 \h </w:instrText>
          </w:r>
          <w:r>
            <w:fldChar w:fldCharType="separate"/>
          </w:r>
          <w:r>
            <w:t>50</w:t>
          </w:r>
          <w:r>
            <w:fldChar w:fldCharType="end"/>
          </w:r>
          <w:r>
            <w:fldChar w:fldCharType="end"/>
          </w:r>
        </w:p>
        <w:p w14:paraId="5CCA0E6F">
          <w:pPr>
            <w:pStyle w:val="14"/>
            <w:tabs>
              <w:tab w:val="right" w:leader="dot" w:pos="8640"/>
            </w:tabs>
          </w:pPr>
          <w:r>
            <w:fldChar w:fldCharType="begin"/>
          </w:r>
          <w:r>
            <w:instrText xml:space="preserve"> HYPERLINK \l _Toc2423 </w:instrText>
          </w:r>
          <w:r>
            <w:fldChar w:fldCharType="separate"/>
          </w:r>
          <w:r>
            <w:t xml:space="preserve">3. </w:t>
          </w:r>
          <w:r>
            <w:rPr>
              <w:rFonts w:hint="eastAsia"/>
            </w:rPr>
            <w:t>员工业绩公式管理</w:t>
          </w:r>
          <w:r>
            <w:tab/>
          </w:r>
          <w:r>
            <w:fldChar w:fldCharType="begin"/>
          </w:r>
          <w:r>
            <w:instrText xml:space="preserve"> PAGEREF _Toc2423 \h </w:instrText>
          </w:r>
          <w:r>
            <w:fldChar w:fldCharType="separate"/>
          </w:r>
          <w:r>
            <w:t>53</w:t>
          </w:r>
          <w:r>
            <w:fldChar w:fldCharType="end"/>
          </w:r>
          <w:r>
            <w:fldChar w:fldCharType="end"/>
          </w:r>
        </w:p>
        <w:p w14:paraId="594D44BE">
          <w:pPr>
            <w:pStyle w:val="14"/>
            <w:tabs>
              <w:tab w:val="right" w:leader="dot" w:pos="8640"/>
            </w:tabs>
          </w:pPr>
          <w:r>
            <w:fldChar w:fldCharType="begin"/>
          </w:r>
          <w:r>
            <w:instrText xml:space="preserve"> HYPERLINK \l _Toc21835 </w:instrText>
          </w:r>
          <w:r>
            <w:fldChar w:fldCharType="separate"/>
          </w:r>
          <w:r>
            <w:t xml:space="preserve">4. </w:t>
          </w:r>
          <w:r>
            <w:rPr>
              <w:rFonts w:hint="eastAsia"/>
            </w:rPr>
            <w:t>业绩报表</w:t>
          </w:r>
          <w:r>
            <w:tab/>
          </w:r>
          <w:r>
            <w:fldChar w:fldCharType="begin"/>
          </w:r>
          <w:r>
            <w:instrText xml:space="preserve"> PAGEREF _Toc21835 \h </w:instrText>
          </w:r>
          <w:r>
            <w:fldChar w:fldCharType="separate"/>
          </w:r>
          <w:r>
            <w:t>53</w:t>
          </w:r>
          <w:r>
            <w:fldChar w:fldCharType="end"/>
          </w:r>
          <w:r>
            <w:fldChar w:fldCharType="end"/>
          </w:r>
        </w:p>
        <w:p w14:paraId="1A78ED44">
          <w:pPr>
            <w:pStyle w:val="20"/>
            <w:tabs>
              <w:tab w:val="right" w:leader="dot" w:pos="8640"/>
            </w:tabs>
          </w:pPr>
          <w:r>
            <w:fldChar w:fldCharType="begin"/>
          </w:r>
          <w:r>
            <w:instrText xml:space="preserve"> HYPERLINK \l _Toc26566 </w:instrText>
          </w:r>
          <w:r>
            <w:fldChar w:fldCharType="separate"/>
          </w:r>
          <w:r>
            <w:rPr>
              <w:rFonts w:hint="eastAsia"/>
            </w:rPr>
            <w:t>六、交易所返还管理</w:t>
          </w:r>
          <w:r>
            <w:tab/>
          </w:r>
          <w:r>
            <w:fldChar w:fldCharType="begin"/>
          </w:r>
          <w:r>
            <w:instrText xml:space="preserve"> PAGEREF _Toc26566 \h </w:instrText>
          </w:r>
          <w:r>
            <w:fldChar w:fldCharType="separate"/>
          </w:r>
          <w:r>
            <w:t>54</w:t>
          </w:r>
          <w:r>
            <w:fldChar w:fldCharType="end"/>
          </w:r>
          <w:r>
            <w:fldChar w:fldCharType="end"/>
          </w:r>
        </w:p>
        <w:p w14:paraId="4CC97C60">
          <w:pPr>
            <w:pStyle w:val="14"/>
            <w:tabs>
              <w:tab w:val="right" w:leader="dot" w:pos="8640"/>
            </w:tabs>
          </w:pPr>
          <w:r>
            <w:fldChar w:fldCharType="begin"/>
          </w:r>
          <w:r>
            <w:instrText xml:space="preserve"> HYPERLINK \l _Toc481 </w:instrText>
          </w:r>
          <w:r>
            <w:fldChar w:fldCharType="separate"/>
          </w:r>
          <w:r>
            <w:rPr>
              <w:rFonts w:hint="eastAsia"/>
            </w:rPr>
            <w:t>1.交易所返还基础数据查询</w:t>
          </w:r>
          <w:r>
            <w:tab/>
          </w:r>
          <w:r>
            <w:fldChar w:fldCharType="begin"/>
          </w:r>
          <w:r>
            <w:instrText xml:space="preserve"> PAGEREF _Toc481 \h </w:instrText>
          </w:r>
          <w:r>
            <w:fldChar w:fldCharType="separate"/>
          </w:r>
          <w:r>
            <w:t>56</w:t>
          </w:r>
          <w:r>
            <w:fldChar w:fldCharType="end"/>
          </w:r>
          <w:r>
            <w:fldChar w:fldCharType="end"/>
          </w:r>
        </w:p>
        <w:p w14:paraId="193F07E7">
          <w:pPr>
            <w:pStyle w:val="14"/>
            <w:tabs>
              <w:tab w:val="right" w:leader="dot" w:pos="8640"/>
            </w:tabs>
          </w:pPr>
          <w:r>
            <w:fldChar w:fldCharType="begin"/>
          </w:r>
          <w:r>
            <w:instrText xml:space="preserve"> HYPERLINK \l _Toc25753 </w:instrText>
          </w:r>
          <w:r>
            <w:fldChar w:fldCharType="separate"/>
          </w:r>
          <w:r>
            <w:rPr>
              <w:rFonts w:hint="eastAsia"/>
            </w:rPr>
            <w:t>2.交易所返还基础数据计算</w:t>
          </w:r>
          <w:r>
            <w:tab/>
          </w:r>
          <w:r>
            <w:fldChar w:fldCharType="begin"/>
          </w:r>
          <w:r>
            <w:instrText xml:space="preserve"> PAGEREF _Toc25753 \h </w:instrText>
          </w:r>
          <w:r>
            <w:fldChar w:fldCharType="separate"/>
          </w:r>
          <w:r>
            <w:t>56</w:t>
          </w:r>
          <w:r>
            <w:fldChar w:fldCharType="end"/>
          </w:r>
          <w:r>
            <w:fldChar w:fldCharType="end"/>
          </w:r>
        </w:p>
        <w:p w14:paraId="0F15925D">
          <w:pPr>
            <w:pStyle w:val="14"/>
            <w:tabs>
              <w:tab w:val="right" w:leader="dot" w:pos="8640"/>
            </w:tabs>
          </w:pPr>
          <w:r>
            <w:fldChar w:fldCharType="begin"/>
          </w:r>
          <w:r>
            <w:instrText xml:space="preserve"> HYPERLINK \l _Toc30795 </w:instrText>
          </w:r>
          <w:r>
            <w:fldChar w:fldCharType="separate"/>
          </w:r>
          <w:r>
            <w:rPr>
              <w:rFonts w:hint="eastAsia"/>
            </w:rPr>
            <w:t>3.交易所持仓返还达标测算</w:t>
          </w:r>
          <w:r>
            <w:tab/>
          </w:r>
          <w:r>
            <w:fldChar w:fldCharType="begin"/>
          </w:r>
          <w:r>
            <w:instrText xml:space="preserve"> PAGEREF _Toc30795 \h </w:instrText>
          </w:r>
          <w:r>
            <w:fldChar w:fldCharType="separate"/>
          </w:r>
          <w:r>
            <w:t>56</w:t>
          </w:r>
          <w:r>
            <w:fldChar w:fldCharType="end"/>
          </w:r>
          <w:r>
            <w:fldChar w:fldCharType="end"/>
          </w:r>
        </w:p>
        <w:p w14:paraId="25F29FE3">
          <w:pPr>
            <w:pStyle w:val="14"/>
            <w:tabs>
              <w:tab w:val="right" w:leader="dot" w:pos="8640"/>
            </w:tabs>
          </w:pPr>
          <w:r>
            <w:fldChar w:fldCharType="begin"/>
          </w:r>
          <w:r>
            <w:instrText xml:space="preserve"> HYPERLINK \l _Toc23763 </w:instrText>
          </w:r>
          <w:r>
            <w:fldChar w:fldCharType="separate"/>
          </w:r>
          <w:r>
            <w:rPr>
              <w:rFonts w:hint="eastAsia"/>
            </w:rPr>
            <w:t>4.公式维护</w:t>
          </w:r>
          <w:r>
            <w:tab/>
          </w:r>
          <w:r>
            <w:fldChar w:fldCharType="begin"/>
          </w:r>
          <w:r>
            <w:instrText xml:space="preserve"> PAGEREF _Toc23763 \h </w:instrText>
          </w:r>
          <w:r>
            <w:fldChar w:fldCharType="separate"/>
          </w:r>
          <w:r>
            <w:t>57</w:t>
          </w:r>
          <w:r>
            <w:fldChar w:fldCharType="end"/>
          </w:r>
          <w:r>
            <w:fldChar w:fldCharType="end"/>
          </w:r>
        </w:p>
        <w:p w14:paraId="4430C746">
          <w:pPr>
            <w:pStyle w:val="14"/>
            <w:tabs>
              <w:tab w:val="right" w:leader="dot" w:pos="8640"/>
            </w:tabs>
          </w:pPr>
          <w:r>
            <w:fldChar w:fldCharType="begin"/>
          </w:r>
          <w:r>
            <w:instrText xml:space="preserve"> HYPERLINK \l _Toc5838 </w:instrText>
          </w:r>
          <w:r>
            <w:fldChar w:fldCharType="separate"/>
          </w:r>
          <w:r>
            <w:rPr>
              <w:rFonts w:hint="eastAsia"/>
            </w:rPr>
            <w:t>5.交易所返还提成查询</w:t>
          </w:r>
          <w:r>
            <w:tab/>
          </w:r>
          <w:r>
            <w:fldChar w:fldCharType="begin"/>
          </w:r>
          <w:r>
            <w:instrText xml:space="preserve"> PAGEREF _Toc5838 \h </w:instrText>
          </w:r>
          <w:r>
            <w:fldChar w:fldCharType="separate"/>
          </w:r>
          <w:r>
            <w:t>59</w:t>
          </w:r>
          <w:r>
            <w:fldChar w:fldCharType="end"/>
          </w:r>
          <w:r>
            <w:fldChar w:fldCharType="end"/>
          </w:r>
        </w:p>
        <w:p w14:paraId="213AA208">
          <w:pPr>
            <w:pStyle w:val="14"/>
            <w:tabs>
              <w:tab w:val="right" w:leader="dot" w:pos="8640"/>
            </w:tabs>
          </w:pPr>
          <w:r>
            <w:fldChar w:fldCharType="begin"/>
          </w:r>
          <w:r>
            <w:instrText xml:space="preserve"> HYPERLINK \l _Toc7891 </w:instrText>
          </w:r>
          <w:r>
            <w:fldChar w:fldCharType="separate"/>
          </w:r>
          <w:r>
            <w:rPr>
              <w:rFonts w:hint="eastAsia"/>
            </w:rPr>
            <w:t>6.交易所返还提成计算</w:t>
          </w:r>
          <w:r>
            <w:tab/>
          </w:r>
          <w:r>
            <w:fldChar w:fldCharType="begin"/>
          </w:r>
          <w:r>
            <w:instrText xml:space="preserve"> PAGEREF _Toc7891 \h </w:instrText>
          </w:r>
          <w:r>
            <w:fldChar w:fldCharType="separate"/>
          </w:r>
          <w:r>
            <w:t>59</w:t>
          </w:r>
          <w:r>
            <w:fldChar w:fldCharType="end"/>
          </w:r>
          <w:r>
            <w:fldChar w:fldCharType="end"/>
          </w:r>
        </w:p>
        <w:p w14:paraId="55D4C22E">
          <w:pPr>
            <w:pStyle w:val="20"/>
            <w:tabs>
              <w:tab w:val="right" w:leader="dot" w:pos="8640"/>
            </w:tabs>
          </w:pPr>
          <w:r>
            <w:fldChar w:fldCharType="begin"/>
          </w:r>
          <w:r>
            <w:instrText xml:space="preserve"> HYPERLINK \l _Toc24277 </w:instrText>
          </w:r>
          <w:r>
            <w:fldChar w:fldCharType="separate"/>
          </w:r>
          <w:r>
            <w:rPr>
              <w:rFonts w:hint="eastAsia"/>
            </w:rPr>
            <w:t>仅【审核通过】的公式参与计算，未审核的公式不生效。</w:t>
          </w:r>
          <w:r>
            <w:tab/>
          </w:r>
          <w:r>
            <w:fldChar w:fldCharType="begin"/>
          </w:r>
          <w:r>
            <w:instrText xml:space="preserve"> PAGEREF _Toc24277 \h </w:instrText>
          </w:r>
          <w:r>
            <w:fldChar w:fldCharType="separate"/>
          </w:r>
          <w:r>
            <w:t>60</w:t>
          </w:r>
          <w:r>
            <w:fldChar w:fldCharType="end"/>
          </w:r>
          <w:r>
            <w:fldChar w:fldCharType="end"/>
          </w:r>
        </w:p>
        <w:p w14:paraId="4FC9100E">
          <w:pPr>
            <w:pStyle w:val="20"/>
            <w:tabs>
              <w:tab w:val="right" w:leader="dot" w:pos="8640"/>
            </w:tabs>
          </w:pPr>
          <w:r>
            <w:fldChar w:fldCharType="begin"/>
          </w:r>
          <w:r>
            <w:instrText xml:space="preserve"> HYPERLINK \l _Toc26834 </w:instrText>
          </w:r>
          <w:r>
            <w:fldChar w:fldCharType="separate"/>
          </w:r>
          <w:r>
            <w:rPr>
              <w:rFonts w:hint="eastAsia"/>
            </w:rPr>
            <w:t>七、利息返还管理</w:t>
          </w:r>
          <w:r>
            <w:tab/>
          </w:r>
          <w:r>
            <w:fldChar w:fldCharType="begin"/>
          </w:r>
          <w:r>
            <w:instrText xml:space="preserve"> PAGEREF _Toc26834 \h </w:instrText>
          </w:r>
          <w:r>
            <w:fldChar w:fldCharType="separate"/>
          </w:r>
          <w:r>
            <w:t>60</w:t>
          </w:r>
          <w:r>
            <w:fldChar w:fldCharType="end"/>
          </w:r>
          <w:r>
            <w:fldChar w:fldCharType="end"/>
          </w:r>
        </w:p>
        <w:p w14:paraId="6CF401F5">
          <w:pPr>
            <w:pStyle w:val="14"/>
            <w:tabs>
              <w:tab w:val="right" w:leader="dot" w:pos="8640"/>
            </w:tabs>
          </w:pPr>
          <w:r>
            <w:fldChar w:fldCharType="begin"/>
          </w:r>
          <w:r>
            <w:instrText xml:space="preserve"> HYPERLINK \l _Toc13887 </w:instrText>
          </w:r>
          <w:r>
            <w:fldChar w:fldCharType="separate"/>
          </w:r>
          <w:r>
            <w:rPr>
              <w:rFonts w:hint="eastAsia"/>
            </w:rPr>
            <w:t>1.公式维护、审核、查询</w:t>
          </w:r>
          <w:r>
            <w:tab/>
          </w:r>
          <w:r>
            <w:fldChar w:fldCharType="begin"/>
          </w:r>
          <w:r>
            <w:instrText xml:space="preserve"> PAGEREF _Toc13887 \h </w:instrText>
          </w:r>
          <w:r>
            <w:fldChar w:fldCharType="separate"/>
          </w:r>
          <w:r>
            <w:t>60</w:t>
          </w:r>
          <w:r>
            <w:fldChar w:fldCharType="end"/>
          </w:r>
          <w:r>
            <w:fldChar w:fldCharType="end"/>
          </w:r>
        </w:p>
        <w:p w14:paraId="287824FF">
          <w:pPr>
            <w:pStyle w:val="14"/>
            <w:tabs>
              <w:tab w:val="right" w:leader="dot" w:pos="8640"/>
            </w:tabs>
          </w:pPr>
          <w:r>
            <w:fldChar w:fldCharType="begin"/>
          </w:r>
          <w:r>
            <w:instrText xml:space="preserve"> HYPERLINK \l _Toc28537 </w:instrText>
          </w:r>
          <w:r>
            <w:fldChar w:fldCharType="separate"/>
          </w:r>
          <w:r>
            <w:rPr>
              <w:rFonts w:hint="eastAsia"/>
            </w:rPr>
            <w:t>2.利息返还查询</w:t>
          </w:r>
          <w:r>
            <w:tab/>
          </w:r>
          <w:r>
            <w:fldChar w:fldCharType="begin"/>
          </w:r>
          <w:r>
            <w:instrText xml:space="preserve"> PAGEREF _Toc28537 \h </w:instrText>
          </w:r>
          <w:r>
            <w:fldChar w:fldCharType="separate"/>
          </w:r>
          <w:r>
            <w:t>61</w:t>
          </w:r>
          <w:r>
            <w:fldChar w:fldCharType="end"/>
          </w:r>
          <w:r>
            <w:fldChar w:fldCharType="end"/>
          </w:r>
        </w:p>
        <w:p w14:paraId="58B8F906">
          <w:pPr>
            <w:pStyle w:val="14"/>
            <w:tabs>
              <w:tab w:val="right" w:leader="dot" w:pos="8640"/>
            </w:tabs>
          </w:pPr>
          <w:r>
            <w:fldChar w:fldCharType="begin"/>
          </w:r>
          <w:r>
            <w:instrText xml:space="preserve"> HYPERLINK \l _Toc29755 </w:instrText>
          </w:r>
          <w:r>
            <w:fldChar w:fldCharType="separate"/>
          </w:r>
          <w:r>
            <w:rPr>
              <w:rFonts w:hint="eastAsia"/>
            </w:rPr>
            <w:t>3.利息返还计算</w:t>
          </w:r>
          <w:r>
            <w:tab/>
          </w:r>
          <w:r>
            <w:fldChar w:fldCharType="begin"/>
          </w:r>
          <w:r>
            <w:instrText xml:space="preserve"> PAGEREF _Toc29755 \h </w:instrText>
          </w:r>
          <w:r>
            <w:fldChar w:fldCharType="separate"/>
          </w:r>
          <w:r>
            <w:t>61</w:t>
          </w:r>
          <w:r>
            <w:fldChar w:fldCharType="end"/>
          </w:r>
          <w:r>
            <w:fldChar w:fldCharType="end"/>
          </w:r>
        </w:p>
        <w:p w14:paraId="366FC35E">
          <w:pPr>
            <w:pStyle w:val="14"/>
            <w:tabs>
              <w:tab w:val="right" w:leader="dot" w:pos="8640"/>
            </w:tabs>
          </w:pPr>
          <w:r>
            <w:fldChar w:fldCharType="begin"/>
          </w:r>
          <w:r>
            <w:instrText xml:space="preserve"> HYPERLINK \l _Toc21976 </w:instrText>
          </w:r>
          <w:r>
            <w:fldChar w:fldCharType="separate"/>
          </w:r>
          <w:r>
            <w:rPr>
              <w:rFonts w:hint="eastAsia"/>
            </w:rPr>
            <w:t>4.公司利息查询</w:t>
          </w:r>
          <w:r>
            <w:tab/>
          </w:r>
          <w:r>
            <w:fldChar w:fldCharType="begin"/>
          </w:r>
          <w:r>
            <w:instrText xml:space="preserve"> PAGEREF _Toc21976 \h </w:instrText>
          </w:r>
          <w:r>
            <w:fldChar w:fldCharType="separate"/>
          </w:r>
          <w:r>
            <w:t>61</w:t>
          </w:r>
          <w:r>
            <w:fldChar w:fldCharType="end"/>
          </w:r>
          <w:r>
            <w:fldChar w:fldCharType="end"/>
          </w:r>
        </w:p>
        <w:p w14:paraId="66412F0E">
          <w:pPr>
            <w:pStyle w:val="20"/>
            <w:tabs>
              <w:tab w:val="right" w:leader="dot" w:pos="8640"/>
            </w:tabs>
          </w:pPr>
          <w:r>
            <w:fldChar w:fldCharType="begin"/>
          </w:r>
          <w:r>
            <w:instrText xml:space="preserve"> HYPERLINK \l _Toc7621 </w:instrText>
          </w:r>
          <w:r>
            <w:fldChar w:fldCharType="separate"/>
          </w:r>
          <w:r>
            <w:rPr>
              <w:rFonts w:hint="eastAsia"/>
            </w:rPr>
            <w:t>八、提成计算管理</w:t>
          </w:r>
          <w:r>
            <w:tab/>
          </w:r>
          <w:r>
            <w:fldChar w:fldCharType="begin"/>
          </w:r>
          <w:r>
            <w:instrText xml:space="preserve"> PAGEREF _Toc7621 \h </w:instrText>
          </w:r>
          <w:r>
            <w:fldChar w:fldCharType="separate"/>
          </w:r>
          <w:r>
            <w:t>62</w:t>
          </w:r>
          <w:r>
            <w:fldChar w:fldCharType="end"/>
          </w:r>
          <w:r>
            <w:fldChar w:fldCharType="end"/>
          </w:r>
        </w:p>
        <w:p w14:paraId="112B98A4">
          <w:pPr>
            <w:pStyle w:val="14"/>
            <w:tabs>
              <w:tab w:val="right" w:leader="dot" w:pos="8640"/>
            </w:tabs>
          </w:pPr>
          <w:r>
            <w:fldChar w:fldCharType="begin"/>
          </w:r>
          <w:r>
            <w:instrText xml:space="preserve"> HYPERLINK \l _Toc2661 </w:instrText>
          </w:r>
          <w:r>
            <w:fldChar w:fldCharType="separate"/>
          </w:r>
          <w:r>
            <w:t xml:space="preserve">1. </w:t>
          </w:r>
          <w:r>
            <w:rPr>
              <w:rFonts w:hint="eastAsia"/>
            </w:rPr>
            <w:t>提成计算</w:t>
          </w:r>
          <w:r>
            <w:tab/>
          </w:r>
          <w:r>
            <w:fldChar w:fldCharType="begin"/>
          </w:r>
          <w:r>
            <w:instrText xml:space="preserve"> PAGEREF _Toc2661 \h </w:instrText>
          </w:r>
          <w:r>
            <w:fldChar w:fldCharType="separate"/>
          </w:r>
          <w:r>
            <w:t>62</w:t>
          </w:r>
          <w:r>
            <w:fldChar w:fldCharType="end"/>
          </w:r>
          <w:r>
            <w:fldChar w:fldCharType="end"/>
          </w:r>
        </w:p>
        <w:p w14:paraId="239A4179">
          <w:pPr>
            <w:pStyle w:val="14"/>
            <w:tabs>
              <w:tab w:val="right" w:leader="dot" w:pos="8640"/>
            </w:tabs>
          </w:pPr>
          <w:r>
            <w:fldChar w:fldCharType="begin"/>
          </w:r>
          <w:r>
            <w:instrText xml:space="preserve"> HYPERLINK \l _Toc5951 </w:instrText>
          </w:r>
          <w:r>
            <w:fldChar w:fldCharType="separate"/>
          </w:r>
          <w:r>
            <w:t xml:space="preserve">2. </w:t>
          </w:r>
          <w:r>
            <w:rPr>
              <w:rFonts w:hint="eastAsia"/>
            </w:rPr>
            <w:t>提成计算-单客户</w:t>
          </w:r>
          <w:r>
            <w:tab/>
          </w:r>
          <w:r>
            <w:fldChar w:fldCharType="begin"/>
          </w:r>
          <w:r>
            <w:instrText xml:space="preserve"> PAGEREF _Toc5951 \h </w:instrText>
          </w:r>
          <w:r>
            <w:fldChar w:fldCharType="separate"/>
          </w:r>
          <w:r>
            <w:t>62</w:t>
          </w:r>
          <w:r>
            <w:fldChar w:fldCharType="end"/>
          </w:r>
          <w:r>
            <w:fldChar w:fldCharType="end"/>
          </w:r>
        </w:p>
        <w:p w14:paraId="587B4CF7">
          <w:pPr>
            <w:pStyle w:val="20"/>
            <w:tabs>
              <w:tab w:val="right" w:leader="dot" w:pos="8640"/>
            </w:tabs>
          </w:pPr>
          <w:r>
            <w:fldChar w:fldCharType="begin"/>
          </w:r>
          <w:r>
            <w:instrText xml:space="preserve"> HYPERLINK \l _Toc22705 </w:instrText>
          </w:r>
          <w:r>
            <w:fldChar w:fldCharType="separate"/>
          </w:r>
          <w:r>
            <w:rPr>
              <w:rFonts w:hint="eastAsia"/>
            </w:rPr>
            <w:t>九、页面管理</w:t>
          </w:r>
          <w:r>
            <w:tab/>
          </w:r>
          <w:r>
            <w:fldChar w:fldCharType="begin"/>
          </w:r>
          <w:r>
            <w:instrText xml:space="preserve"> PAGEREF _Toc22705 \h </w:instrText>
          </w:r>
          <w:r>
            <w:fldChar w:fldCharType="separate"/>
          </w:r>
          <w:r>
            <w:t>63</w:t>
          </w:r>
          <w:r>
            <w:fldChar w:fldCharType="end"/>
          </w:r>
          <w:r>
            <w:fldChar w:fldCharType="end"/>
          </w:r>
        </w:p>
        <w:p w14:paraId="1E24CF94">
          <w:pPr>
            <w:pStyle w:val="14"/>
            <w:tabs>
              <w:tab w:val="right" w:leader="dot" w:pos="8640"/>
            </w:tabs>
          </w:pPr>
          <w:r>
            <w:fldChar w:fldCharType="begin"/>
          </w:r>
          <w:r>
            <w:instrText xml:space="preserve"> HYPERLINK \l _Toc31688 </w:instrText>
          </w:r>
          <w:r>
            <w:fldChar w:fldCharType="separate"/>
          </w:r>
          <w:r>
            <w:t xml:space="preserve">1. </w:t>
          </w:r>
          <w:r>
            <w:rPr>
              <w:rFonts w:hint="eastAsia"/>
              <w:bCs/>
            </w:rPr>
            <w:t>详情设置</w:t>
          </w:r>
          <w:r>
            <w:tab/>
          </w:r>
          <w:r>
            <w:fldChar w:fldCharType="begin"/>
          </w:r>
          <w:r>
            <w:instrText xml:space="preserve"> PAGEREF _Toc31688 \h </w:instrText>
          </w:r>
          <w:r>
            <w:fldChar w:fldCharType="separate"/>
          </w:r>
          <w:r>
            <w:t>64</w:t>
          </w:r>
          <w:r>
            <w:fldChar w:fldCharType="end"/>
          </w:r>
          <w:r>
            <w:fldChar w:fldCharType="end"/>
          </w:r>
        </w:p>
        <w:p w14:paraId="5C4834B2">
          <w:pPr>
            <w:pStyle w:val="14"/>
            <w:tabs>
              <w:tab w:val="right" w:leader="dot" w:pos="8640"/>
            </w:tabs>
          </w:pPr>
          <w:r>
            <w:fldChar w:fldCharType="begin"/>
          </w:r>
          <w:r>
            <w:instrText xml:space="preserve"> HYPERLINK \l _Toc15852 </w:instrText>
          </w:r>
          <w:r>
            <w:fldChar w:fldCharType="separate"/>
          </w:r>
          <w:r>
            <w:t xml:space="preserve">2. </w:t>
          </w:r>
          <w:r>
            <w:rPr>
              <w:rFonts w:hint="eastAsia"/>
            </w:rPr>
            <w:t>查询设置</w:t>
          </w:r>
          <w:r>
            <w:tab/>
          </w:r>
          <w:r>
            <w:fldChar w:fldCharType="begin"/>
          </w:r>
          <w:r>
            <w:instrText xml:space="preserve"> PAGEREF _Toc15852 \h </w:instrText>
          </w:r>
          <w:r>
            <w:fldChar w:fldCharType="separate"/>
          </w:r>
          <w:r>
            <w:t>69</w:t>
          </w:r>
          <w:r>
            <w:fldChar w:fldCharType="end"/>
          </w:r>
          <w:r>
            <w:fldChar w:fldCharType="end"/>
          </w:r>
        </w:p>
        <w:p w14:paraId="080D09CE">
          <w:pPr>
            <w:pStyle w:val="14"/>
            <w:tabs>
              <w:tab w:val="right" w:leader="dot" w:pos="8640"/>
            </w:tabs>
          </w:pPr>
          <w:r>
            <w:fldChar w:fldCharType="begin"/>
          </w:r>
          <w:r>
            <w:instrText xml:space="preserve"> HYPERLINK \l _Toc4147 </w:instrText>
          </w:r>
          <w:r>
            <w:fldChar w:fldCharType="separate"/>
          </w:r>
          <w:r>
            <w:t xml:space="preserve">3. </w:t>
          </w:r>
          <w:r>
            <w:rPr>
              <w:rFonts w:hint="eastAsia"/>
            </w:rPr>
            <w:t>列表设置</w:t>
          </w:r>
          <w:r>
            <w:tab/>
          </w:r>
          <w:r>
            <w:fldChar w:fldCharType="begin"/>
          </w:r>
          <w:r>
            <w:instrText xml:space="preserve"> PAGEREF _Toc4147 \h </w:instrText>
          </w:r>
          <w:r>
            <w:fldChar w:fldCharType="separate"/>
          </w:r>
          <w:r>
            <w:t>69</w:t>
          </w:r>
          <w:r>
            <w:fldChar w:fldCharType="end"/>
          </w:r>
          <w:r>
            <w:fldChar w:fldCharType="end"/>
          </w:r>
        </w:p>
        <w:p w14:paraId="7E62EB2C">
          <w:pPr>
            <w:pStyle w:val="20"/>
            <w:tabs>
              <w:tab w:val="right" w:leader="dot" w:pos="8640"/>
            </w:tabs>
          </w:pPr>
          <w:r>
            <w:fldChar w:fldCharType="begin"/>
          </w:r>
          <w:r>
            <w:instrText xml:space="preserve"> HYPERLINK \l _Toc15991 </w:instrText>
          </w:r>
          <w:r>
            <w:fldChar w:fldCharType="separate"/>
          </w:r>
          <w:r>
            <w:rPr>
              <w:rFonts w:hint="eastAsia"/>
            </w:rPr>
            <w:t>十、Q&amp;A</w:t>
          </w:r>
          <w:r>
            <w:tab/>
          </w:r>
          <w:r>
            <w:fldChar w:fldCharType="begin"/>
          </w:r>
          <w:r>
            <w:instrText xml:space="preserve"> PAGEREF _Toc15991 \h </w:instrText>
          </w:r>
          <w:r>
            <w:fldChar w:fldCharType="separate"/>
          </w:r>
          <w:r>
            <w:t>70</w:t>
          </w:r>
          <w:r>
            <w:fldChar w:fldCharType="end"/>
          </w:r>
          <w:r>
            <w:fldChar w:fldCharType="end"/>
          </w:r>
        </w:p>
        <w:p w14:paraId="7BE09753">
          <w:r>
            <w:fldChar w:fldCharType="end"/>
          </w:r>
        </w:p>
      </w:sdtContent>
    </w:sdt>
    <w:p w14:paraId="61EA5444">
      <w:pPr>
        <w:pStyle w:val="2"/>
      </w:pPr>
      <w:bookmarkStart w:id="0" w:name="_Toc1287"/>
      <w:bookmarkStart w:id="1" w:name="新佣金提成管理"/>
      <w:r>
        <w:rPr>
          <w:rFonts w:hint="eastAsia"/>
        </w:rPr>
        <w:t>新佣金提成管理</w:t>
      </w:r>
      <w:bookmarkEnd w:id="0"/>
    </w:p>
    <w:p w14:paraId="30B19AF0">
      <w:pPr>
        <w:pStyle w:val="4"/>
      </w:pPr>
      <w:bookmarkStart w:id="2" w:name="_Toc14156"/>
      <w:bookmarkStart w:id="3" w:name="一背景说明"/>
      <w:r>
        <w:rPr>
          <w:rFonts w:hint="eastAsia"/>
        </w:rPr>
        <w:t>一、背景说明</w:t>
      </w:r>
      <w:bookmarkEnd w:id="2"/>
    </w:p>
    <w:p w14:paraId="4B5F5772">
      <w:pPr>
        <w:pStyle w:val="26"/>
      </w:pPr>
      <w:r>
        <w:rPr>
          <w:rFonts w:hint="eastAsia"/>
        </w:rPr>
        <w:t>为了支持2021年开始试行，2025年正式发布的</w:t>
      </w:r>
      <w:r>
        <w:fldChar w:fldCharType="begin"/>
      </w:r>
      <w:r>
        <w:instrText xml:space="preserve"> HYPERLINK "/pdf/附件1：期货公司居间人管理办法.pdf" \h </w:instrText>
      </w:r>
      <w:r>
        <w:fldChar w:fldCharType="separate"/>
      </w:r>
      <w:r>
        <w:rPr>
          <w:rStyle w:val="23"/>
          <w:rFonts w:hint="eastAsia"/>
        </w:rPr>
        <w:t>期货公司居间人管理办法.pdf</w:t>
      </w:r>
      <w:r>
        <w:rPr>
          <w:rStyle w:val="23"/>
          <w:rFonts w:hint="eastAsia"/>
        </w:rPr>
        <w:fldChar w:fldCharType="end"/>
      </w:r>
      <w:r>
        <w:rPr>
          <w:rFonts w:hint="eastAsia"/>
        </w:rPr>
        <w:t>，帮助期货公司从容应对监管要求。</w:t>
      </w:r>
    </w:p>
    <w:p w14:paraId="42D80A03">
      <w:pPr>
        <w:pStyle w:val="3"/>
      </w:pPr>
      <w:r>
        <w:rPr>
          <w:rFonts w:hint="eastAsia"/>
        </w:rPr>
        <w:t>本次发布的版本将拥有以下特性：</w:t>
      </w:r>
    </w:p>
    <w:p w14:paraId="33ACD773">
      <w:pPr>
        <w:pStyle w:val="27"/>
        <w:numPr>
          <w:ilvl w:val="0"/>
          <w:numId w:val="1"/>
        </w:numPr>
      </w:pPr>
      <w:r>
        <w:rPr>
          <w:rFonts w:hint="eastAsia"/>
        </w:rPr>
        <w:t>涵盖《居间人管理办法》中提到的功能点，例如利益冲突筛查，异常交易监控，居间人回访等；</w:t>
      </w:r>
    </w:p>
    <w:p w14:paraId="15104644">
      <w:pPr>
        <w:pStyle w:val="27"/>
        <w:numPr>
          <w:ilvl w:val="0"/>
          <w:numId w:val="1"/>
        </w:numPr>
      </w:pPr>
      <w:r>
        <w:rPr>
          <w:rFonts w:hint="eastAsia"/>
        </w:rPr>
        <w:t>兼容老版本佣金管理模块的所有功能；</w:t>
      </w:r>
    </w:p>
    <w:p w14:paraId="470DBB48">
      <w:pPr>
        <w:pStyle w:val="27"/>
        <w:numPr>
          <w:ilvl w:val="0"/>
          <w:numId w:val="1"/>
        </w:numPr>
      </w:pPr>
      <w:r>
        <w:rPr>
          <w:rFonts w:hint="eastAsia"/>
        </w:rPr>
        <w:t>报表查询启用了新的报表引擎，可以针对查询慢的报表做性能优化。</w:t>
      </w:r>
    </w:p>
    <w:p w14:paraId="5796ED08">
      <w:pPr>
        <w:pStyle w:val="27"/>
        <w:numPr>
          <w:ilvl w:val="0"/>
          <w:numId w:val="1"/>
        </w:numPr>
      </w:pPr>
      <w:r>
        <w:rPr>
          <w:rFonts w:hint="eastAsia"/>
        </w:rPr>
        <w:t>页面的</w:t>
      </w:r>
      <w:r>
        <w:t xml:space="preserve"> </w:t>
      </w:r>
      <w:r>
        <w:rPr>
          <w:rFonts w:hint="eastAsia"/>
          <w:b/>
          <w:bCs/>
        </w:rPr>
        <w:t>查询筛选项</w:t>
      </w:r>
      <w:r>
        <w:rPr>
          <w:rFonts w:hint="eastAsia"/>
        </w:rPr>
        <w:t>，</w:t>
      </w:r>
      <w:r>
        <w:rPr>
          <w:rFonts w:hint="eastAsia"/>
          <w:b/>
          <w:bCs/>
        </w:rPr>
        <w:t>列表项</w:t>
      </w:r>
      <w:r>
        <w:rPr>
          <w:rFonts w:hint="eastAsia"/>
        </w:rPr>
        <w:t>，</w:t>
      </w:r>
      <w:r>
        <w:rPr>
          <w:rFonts w:hint="eastAsia"/>
          <w:b/>
          <w:bCs/>
        </w:rPr>
        <w:t>详情页</w:t>
      </w:r>
      <w:r>
        <w:rPr>
          <w:rFonts w:hint="eastAsia"/>
        </w:rPr>
        <w:t>的内容，支持</w:t>
      </w:r>
      <w:r>
        <w:rPr>
          <w:rFonts w:hint="eastAsia"/>
          <w:b/>
          <w:bCs/>
        </w:rPr>
        <w:t>自定义配置</w:t>
      </w:r>
      <w:r>
        <w:rPr>
          <w:rFonts w:hint="eastAsia"/>
        </w:rPr>
        <w:t>，包括顺序也可自行调整，满足各家公司的个性化需求；</w:t>
      </w:r>
    </w:p>
    <w:p w14:paraId="0BB9A4C3">
      <w:pPr>
        <w:pStyle w:val="27"/>
        <w:numPr>
          <w:ilvl w:val="0"/>
          <w:numId w:val="1"/>
        </w:numPr>
      </w:pPr>
      <w:r>
        <w:rPr>
          <w:rFonts w:hint="eastAsia"/>
        </w:rPr>
        <w:t>考虑到各家能平滑切换，新版在菜单和操作逻辑上保持与老版本一致，账号密码不变，点击新模块，系统会自动跳转，权限的开通方式也没有变化；</w:t>
      </w:r>
    </w:p>
    <w:p w14:paraId="7ABA95D1">
      <w:r>
        <w:pict>
          <v:rect id="_x0000_i1025" o:spt="1" style="height:1.5pt;width:0pt;" coordsize="21600,21600" o:hr="t" o:hrstd="t" o:hralign="center">
            <v:path/>
            <v:fill focussize="0,0"/>
            <v:stroke/>
            <v:imagedata o:title=""/>
            <o:lock v:ext="edit"/>
            <w10:wrap type="none"/>
            <w10:anchorlock/>
          </v:rect>
        </w:pict>
      </w:r>
    </w:p>
    <w:bookmarkEnd w:id="3"/>
    <w:p w14:paraId="5780F96A">
      <w:pPr>
        <w:pStyle w:val="4"/>
      </w:pPr>
      <w:bookmarkStart w:id="4" w:name="_Toc9636"/>
      <w:bookmarkStart w:id="5" w:name="二参数管理"/>
      <w:r>
        <w:rPr>
          <w:rFonts w:hint="eastAsia"/>
        </w:rPr>
        <w:t>二、参数管理</w:t>
      </w:r>
      <w:bookmarkEnd w:id="4"/>
    </w:p>
    <w:p w14:paraId="53865F43">
      <w:pPr>
        <w:pStyle w:val="26"/>
      </w:pPr>
      <w:r>
        <w:rPr>
          <w:rFonts w:hint="eastAsia"/>
        </w:rPr>
        <w:t>本模块主要用于维护投资者保障基金、公司利率、交易所年利率等基础参数。</w:t>
      </w:r>
    </w:p>
    <w:p w14:paraId="489DC9FE">
      <w:pPr>
        <w:pStyle w:val="5"/>
      </w:pPr>
      <w:bookmarkStart w:id="6" w:name="_Toc14037"/>
      <w:bookmarkStart w:id="7" w:name="投资者保障基金比例设置"/>
      <w:r>
        <w:t xml:space="preserve">1. </w:t>
      </w:r>
      <w:r>
        <w:rPr>
          <w:rFonts w:hint="eastAsia"/>
        </w:rPr>
        <w:t>投资者保障基金比例设置</w:t>
      </w:r>
      <w:bookmarkEnd w:id="6"/>
    </w:p>
    <w:p w14:paraId="3EE05A53">
      <w:pPr>
        <w:pStyle w:val="26"/>
      </w:pPr>
      <w:r>
        <w:rPr>
          <w:rFonts w:hint="eastAsia"/>
        </w:rPr>
        <w:t>此处设置的投资者保障基金比例是全局的，影响投资者基础数据的计算；</w:t>
      </w:r>
      <w:r>
        <w:t xml:space="preserve"> </w:t>
      </w:r>
      <w:r>
        <w:drawing>
          <wp:inline distT="0" distB="0" distL="114300" distR="114300">
            <wp:extent cx="5334000" cy="1543050"/>
            <wp:effectExtent l="0" t="0" r="0" b="0"/>
            <wp:docPr id="23"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descr="image.png"/>
                    <pic:cNvPicPr>
                      <a:picLocks noChangeAspect="1" noChangeArrowheads="1"/>
                    </pic:cNvPicPr>
                  </pic:nvPicPr>
                  <pic:blipFill>
                    <a:blip r:embed="rId5"/>
                    <a:stretch>
                      <a:fillRect/>
                    </a:stretch>
                  </pic:blipFill>
                  <pic:spPr>
                    <a:xfrm>
                      <a:off x="0" y="0"/>
                      <a:ext cx="5334000" cy="1543601"/>
                    </a:xfrm>
                    <a:prstGeom prst="rect">
                      <a:avLst/>
                    </a:prstGeom>
                    <a:noFill/>
                    <a:ln w="9525">
                      <a:noFill/>
                    </a:ln>
                  </pic:spPr>
                </pic:pic>
              </a:graphicData>
            </a:graphic>
          </wp:inline>
        </w:drawing>
      </w:r>
      <w:r>
        <w:t xml:space="preserve"> </w:t>
      </w:r>
      <w:r>
        <w:drawing>
          <wp:inline distT="0" distB="0" distL="114300" distR="114300">
            <wp:extent cx="5334000" cy="2531110"/>
            <wp:effectExtent l="0" t="0" r="0" b="0"/>
            <wp:docPr id="26"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descr="image.png"/>
                    <pic:cNvPicPr>
                      <a:picLocks noChangeAspect="1" noChangeArrowheads="1"/>
                    </pic:cNvPicPr>
                  </pic:nvPicPr>
                  <pic:blipFill>
                    <a:blip r:embed="rId6"/>
                    <a:stretch>
                      <a:fillRect/>
                    </a:stretch>
                  </pic:blipFill>
                  <pic:spPr>
                    <a:xfrm>
                      <a:off x="0" y="0"/>
                      <a:ext cx="5334000" cy="2531637"/>
                    </a:xfrm>
                    <a:prstGeom prst="rect">
                      <a:avLst/>
                    </a:prstGeom>
                    <a:noFill/>
                    <a:ln w="9525">
                      <a:noFill/>
                    </a:ln>
                  </pic:spPr>
                </pic:pic>
              </a:graphicData>
            </a:graphic>
          </wp:inline>
        </w:drawing>
      </w:r>
    </w:p>
    <w:bookmarkEnd w:id="7"/>
    <w:p w14:paraId="69DC1DCC">
      <w:pPr>
        <w:pStyle w:val="5"/>
      </w:pPr>
      <w:bookmarkStart w:id="8" w:name="_Toc27522"/>
      <w:bookmarkStart w:id="9" w:name="公司利率维护"/>
      <w:r>
        <w:t xml:space="preserve">2. </w:t>
      </w:r>
      <w:r>
        <w:rPr>
          <w:rFonts w:hint="eastAsia"/>
        </w:rPr>
        <w:t>公司利率维护</w:t>
      </w:r>
      <w:bookmarkEnd w:id="8"/>
    </w:p>
    <w:p w14:paraId="17139BBC">
      <w:pPr>
        <w:pStyle w:val="26"/>
      </w:pPr>
      <w:r>
        <w:rPr>
          <w:rFonts w:hint="eastAsia"/>
        </w:rPr>
        <w:t>用于维护公司内部核算客户利息贡献的利率，或者是给客户进行利息返还的基础参照利率。</w:t>
      </w:r>
      <w:r>
        <w:t xml:space="preserve"> </w:t>
      </w:r>
      <w:r>
        <w:drawing>
          <wp:inline distT="0" distB="0" distL="114300" distR="114300">
            <wp:extent cx="5334000" cy="1214120"/>
            <wp:effectExtent l="0" t="0" r="0" b="0"/>
            <wp:docPr id="30"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descr="image.png"/>
                    <pic:cNvPicPr>
                      <a:picLocks noChangeAspect="1" noChangeArrowheads="1"/>
                    </pic:cNvPicPr>
                  </pic:nvPicPr>
                  <pic:blipFill>
                    <a:blip r:embed="rId7"/>
                    <a:stretch>
                      <a:fillRect/>
                    </a:stretch>
                  </pic:blipFill>
                  <pic:spPr>
                    <a:xfrm>
                      <a:off x="0" y="0"/>
                      <a:ext cx="5334000" cy="1214740"/>
                    </a:xfrm>
                    <a:prstGeom prst="rect">
                      <a:avLst/>
                    </a:prstGeom>
                    <a:noFill/>
                    <a:ln w="9525">
                      <a:noFill/>
                    </a:ln>
                  </pic:spPr>
                </pic:pic>
              </a:graphicData>
            </a:graphic>
          </wp:inline>
        </w:drawing>
      </w:r>
      <w:r>
        <w:t xml:space="preserve"> </w:t>
      </w:r>
      <w:r>
        <w:drawing>
          <wp:inline distT="0" distB="0" distL="114300" distR="114300">
            <wp:extent cx="5334000" cy="2345055"/>
            <wp:effectExtent l="0" t="0" r="0" b="0"/>
            <wp:docPr id="33"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descr="image.png"/>
                    <pic:cNvPicPr>
                      <a:picLocks noChangeAspect="1" noChangeArrowheads="1"/>
                    </pic:cNvPicPr>
                  </pic:nvPicPr>
                  <pic:blipFill>
                    <a:blip r:embed="rId8"/>
                    <a:stretch>
                      <a:fillRect/>
                    </a:stretch>
                  </pic:blipFill>
                  <pic:spPr>
                    <a:xfrm>
                      <a:off x="0" y="0"/>
                      <a:ext cx="5334000" cy="2345674"/>
                    </a:xfrm>
                    <a:prstGeom prst="rect">
                      <a:avLst/>
                    </a:prstGeom>
                    <a:noFill/>
                    <a:ln w="9525">
                      <a:noFill/>
                    </a:ln>
                  </pic:spPr>
                </pic:pic>
              </a:graphicData>
            </a:graphic>
          </wp:inline>
        </w:drawing>
      </w:r>
    </w:p>
    <w:p w14:paraId="170B25BF">
      <w:pPr>
        <w:pStyle w:val="13"/>
      </w:pPr>
      <w:r>
        <w:rPr>
          <w:rFonts w:hint="eastAsia"/>
          <w:b/>
          <w:bCs/>
        </w:rPr>
        <w:t>注意</w:t>
      </w:r>
    </w:p>
    <w:p w14:paraId="5D38ADD7">
      <w:pPr>
        <w:pStyle w:val="13"/>
      </w:pPr>
      <w:r>
        <w:rPr>
          <w:rFonts w:hint="eastAsia"/>
        </w:rPr>
        <w:t>设置多条记录时，不能存在时间交叉或重叠！否则，会导致重叠日期的利息基数被重复计算。</w:t>
      </w:r>
    </w:p>
    <w:bookmarkEnd w:id="9"/>
    <w:p w14:paraId="27E0661B">
      <w:pPr>
        <w:pStyle w:val="5"/>
      </w:pPr>
      <w:bookmarkStart w:id="10" w:name="_Toc24041"/>
      <w:bookmarkStart w:id="11" w:name="交易所年利率维护"/>
      <w:r>
        <w:t xml:space="preserve">3. </w:t>
      </w:r>
      <w:r>
        <w:rPr>
          <w:rFonts w:hint="eastAsia"/>
        </w:rPr>
        <w:t>交易所年利率维护</w:t>
      </w:r>
      <w:bookmarkEnd w:id="10"/>
    </w:p>
    <w:p w14:paraId="7206D6A6">
      <w:pPr>
        <w:pStyle w:val="26"/>
      </w:pPr>
      <w:r>
        <w:rPr>
          <w:rFonts w:hint="eastAsia"/>
        </w:rPr>
        <w:t>用于维护公司利息收入的年利率，即各交易所返给期货公司的利率，一般全市场统一、不区分交易所设置。</w:t>
      </w:r>
      <w:r>
        <w:t xml:space="preserve"> </w:t>
      </w:r>
      <w:r>
        <w:drawing>
          <wp:inline distT="0" distB="0" distL="114300" distR="114300">
            <wp:extent cx="5334000" cy="1271270"/>
            <wp:effectExtent l="0" t="0" r="0" b="0"/>
            <wp:docPr id="37"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descr="image.png"/>
                    <pic:cNvPicPr>
                      <a:picLocks noChangeAspect="1" noChangeArrowheads="1"/>
                    </pic:cNvPicPr>
                  </pic:nvPicPr>
                  <pic:blipFill>
                    <a:blip r:embed="rId9"/>
                    <a:stretch>
                      <a:fillRect/>
                    </a:stretch>
                  </pic:blipFill>
                  <pic:spPr>
                    <a:xfrm>
                      <a:off x="0" y="0"/>
                      <a:ext cx="5334000" cy="1271902"/>
                    </a:xfrm>
                    <a:prstGeom prst="rect">
                      <a:avLst/>
                    </a:prstGeom>
                    <a:noFill/>
                    <a:ln w="9525">
                      <a:noFill/>
                    </a:ln>
                  </pic:spPr>
                </pic:pic>
              </a:graphicData>
            </a:graphic>
          </wp:inline>
        </w:drawing>
      </w:r>
      <w:r>
        <w:t xml:space="preserve"> </w:t>
      </w:r>
      <w:r>
        <w:drawing>
          <wp:inline distT="0" distB="0" distL="114300" distR="114300">
            <wp:extent cx="5334000" cy="2470785"/>
            <wp:effectExtent l="0" t="0" r="0" b="0"/>
            <wp:docPr id="40"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descr="image.png"/>
                    <pic:cNvPicPr>
                      <a:picLocks noChangeAspect="1" noChangeArrowheads="1"/>
                    </pic:cNvPicPr>
                  </pic:nvPicPr>
                  <pic:blipFill>
                    <a:blip r:embed="rId10"/>
                    <a:stretch>
                      <a:fillRect/>
                    </a:stretch>
                  </pic:blipFill>
                  <pic:spPr>
                    <a:xfrm>
                      <a:off x="0" y="0"/>
                      <a:ext cx="5334000" cy="2471376"/>
                    </a:xfrm>
                    <a:prstGeom prst="rect">
                      <a:avLst/>
                    </a:prstGeom>
                    <a:noFill/>
                    <a:ln w="9525">
                      <a:noFill/>
                    </a:ln>
                  </pic:spPr>
                </pic:pic>
              </a:graphicData>
            </a:graphic>
          </wp:inline>
        </w:drawing>
      </w:r>
    </w:p>
    <w:p w14:paraId="2049D238">
      <w:pPr>
        <w:pStyle w:val="13"/>
      </w:pPr>
      <w:r>
        <w:rPr>
          <w:rFonts w:hint="eastAsia"/>
          <w:b/>
          <w:bCs/>
        </w:rPr>
        <w:t>注意</w:t>
      </w:r>
    </w:p>
    <w:p w14:paraId="6B1408D8">
      <w:pPr>
        <w:pStyle w:val="13"/>
      </w:pPr>
      <w:r>
        <w:rPr>
          <w:rFonts w:hint="eastAsia"/>
        </w:rPr>
        <w:t>设置多条记录时，不能存在时间交叉或重叠！否则，会导致重叠日期的利息基数被重复计算。</w:t>
      </w:r>
    </w:p>
    <w:bookmarkEnd w:id="5"/>
    <w:bookmarkEnd w:id="11"/>
    <w:p w14:paraId="3362E82A">
      <w:pPr>
        <w:pStyle w:val="4"/>
      </w:pPr>
      <w:bookmarkStart w:id="12" w:name="_Toc14810"/>
      <w:bookmarkStart w:id="13" w:name="三软件费用计费"/>
      <w:r>
        <w:rPr>
          <w:rFonts w:hint="eastAsia"/>
        </w:rPr>
        <w:t>三、软件费用计费</w:t>
      </w:r>
      <w:bookmarkEnd w:id="12"/>
    </w:p>
    <w:p w14:paraId="6D756721">
      <w:pPr>
        <w:pStyle w:val="5"/>
      </w:pPr>
      <w:bookmarkStart w:id="14" w:name="_Toc8009"/>
      <w:bookmarkStart w:id="15" w:name="终端特征码维护"/>
      <w:r>
        <w:t xml:space="preserve">1. </w:t>
      </w:r>
      <w:r>
        <w:rPr>
          <w:rFonts w:hint="eastAsia"/>
        </w:rPr>
        <w:t>终端特征码维护</w:t>
      </w:r>
      <w:bookmarkEnd w:id="14"/>
    </w:p>
    <w:p w14:paraId="29BBDC4B">
      <w:pPr>
        <w:pStyle w:val="26"/>
      </w:pPr>
      <w:r>
        <w:rPr>
          <w:rFonts w:hint="eastAsia"/>
        </w:rPr>
        <w:t>此模块设计是针对投资者所用到的收费软件（例如开拓者、达钱这类交易服务终端），将它们视为类似于业务人员一样，进行其与投资者的关系维护、费用比例设置等，最终体现在《居间人员月度佣金表》、《营业部月度员工提成表》的软件费用列内；同时，根据需要，进行是否扣减增值税、是否扣减风险金的设置。</w:t>
      </w:r>
    </w:p>
    <w:p w14:paraId="12DE820A">
      <w:pPr>
        <w:pStyle w:val="3"/>
      </w:pPr>
      <w:r>
        <w:drawing>
          <wp:inline distT="0" distB="0" distL="114300" distR="114300">
            <wp:extent cx="5334000" cy="4710430"/>
            <wp:effectExtent l="0" t="0" r="0" b="0"/>
            <wp:docPr id="45"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descr="image.png"/>
                    <pic:cNvPicPr>
                      <a:picLocks noChangeAspect="1" noChangeArrowheads="1"/>
                    </pic:cNvPicPr>
                  </pic:nvPicPr>
                  <pic:blipFill>
                    <a:blip r:embed="rId11"/>
                    <a:stretch>
                      <a:fillRect/>
                    </a:stretch>
                  </pic:blipFill>
                  <pic:spPr>
                    <a:xfrm>
                      <a:off x="0" y="0"/>
                      <a:ext cx="5334000" cy="4710628"/>
                    </a:xfrm>
                    <a:prstGeom prst="rect">
                      <a:avLst/>
                    </a:prstGeom>
                    <a:noFill/>
                    <a:ln w="9525">
                      <a:noFill/>
                    </a:ln>
                  </pic:spPr>
                </pic:pic>
              </a:graphicData>
            </a:graphic>
          </wp:inline>
        </w:drawing>
      </w:r>
    </w:p>
    <w:bookmarkEnd w:id="15"/>
    <w:p w14:paraId="50312AA6">
      <w:pPr>
        <w:pStyle w:val="5"/>
      </w:pPr>
      <w:bookmarkStart w:id="16" w:name="_Toc2855"/>
      <w:bookmarkStart w:id="17" w:name="投资者终端计费信息维护"/>
      <w:r>
        <w:t xml:space="preserve">2. </w:t>
      </w:r>
      <w:r>
        <w:rPr>
          <w:rFonts w:hint="eastAsia"/>
        </w:rPr>
        <w:t>投资者终端计费信息维护</w:t>
      </w:r>
      <w:bookmarkEnd w:id="16"/>
    </w:p>
    <w:p w14:paraId="5ED952FF">
      <w:pPr>
        <w:pStyle w:val="26"/>
      </w:pPr>
      <w:r>
        <w:rPr>
          <w:rFonts w:hint="eastAsia"/>
        </w:rPr>
        <w:t>此界面设置哪些投资者使用了需要收费的终端，开始计费的起止日期及提成算法（计费类型、计费基准、提成比例）；</w:t>
      </w:r>
    </w:p>
    <w:p w14:paraId="45F955EE">
      <w:pPr>
        <w:pStyle w:val="3"/>
      </w:pPr>
      <w:r>
        <w:drawing>
          <wp:inline distT="0" distB="0" distL="114300" distR="114300">
            <wp:extent cx="5334000" cy="3952240"/>
            <wp:effectExtent l="0" t="0" r="0" b="0"/>
            <wp:docPr id="49"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descr="image.png"/>
                    <pic:cNvPicPr>
                      <a:picLocks noChangeAspect="1" noChangeArrowheads="1"/>
                    </pic:cNvPicPr>
                  </pic:nvPicPr>
                  <pic:blipFill>
                    <a:blip r:embed="rId12"/>
                    <a:stretch>
                      <a:fillRect/>
                    </a:stretch>
                  </pic:blipFill>
                  <pic:spPr>
                    <a:xfrm>
                      <a:off x="0" y="0"/>
                      <a:ext cx="5334000" cy="3952301"/>
                    </a:xfrm>
                    <a:prstGeom prst="rect">
                      <a:avLst/>
                    </a:prstGeom>
                    <a:noFill/>
                    <a:ln w="9525">
                      <a:noFill/>
                    </a:ln>
                  </pic:spPr>
                </pic:pic>
              </a:graphicData>
            </a:graphic>
          </wp:inline>
        </w:drawing>
      </w:r>
    </w:p>
    <w:p w14:paraId="08F2AE74">
      <w:pPr>
        <w:pStyle w:val="27"/>
        <w:numPr>
          <w:ilvl w:val="0"/>
          <w:numId w:val="2"/>
        </w:numPr>
      </w:pPr>
      <w:r>
        <w:rPr>
          <w:rFonts w:hint="eastAsia"/>
        </w:rPr>
        <w:t>终端特征码：列表选项加载自【终端特征码维护】；</w:t>
      </w:r>
    </w:p>
    <w:p w14:paraId="46AF1C34">
      <w:pPr>
        <w:pStyle w:val="27"/>
        <w:numPr>
          <w:ilvl w:val="0"/>
          <w:numId w:val="2"/>
        </w:numPr>
      </w:pPr>
      <w:r>
        <w:rPr>
          <w:rFonts w:hint="eastAsia"/>
        </w:rPr>
        <w:t>投资者代码：即投资者的资金账号；</w:t>
      </w:r>
    </w:p>
    <w:p w14:paraId="54F4284F">
      <w:pPr>
        <w:pStyle w:val="27"/>
        <w:numPr>
          <w:ilvl w:val="0"/>
          <w:numId w:val="2"/>
        </w:numPr>
      </w:pPr>
      <w:r>
        <w:rPr>
          <w:rFonts w:hint="eastAsia"/>
        </w:rPr>
        <w:t>交易品种：仅在投资者需要区分品种进行差异化计费时才需要选择；</w:t>
      </w:r>
    </w:p>
    <w:p w14:paraId="49A79868">
      <w:pPr>
        <w:pStyle w:val="27"/>
        <w:numPr>
          <w:ilvl w:val="1"/>
          <w:numId w:val="2"/>
        </w:numPr>
      </w:pPr>
      <w:r>
        <w:rPr>
          <w:rFonts w:hint="eastAsia"/>
        </w:rPr>
        <w:t>默认选择“-”，表示针对所有品种合并处理，即不区分品种；</w:t>
      </w:r>
    </w:p>
    <w:p w14:paraId="727D1454">
      <w:pPr>
        <w:pStyle w:val="27"/>
        <w:numPr>
          <w:ilvl w:val="0"/>
          <w:numId w:val="2"/>
        </w:numPr>
      </w:pPr>
      <w:r>
        <w:rPr>
          <w:rFonts w:hint="eastAsia"/>
        </w:rPr>
        <w:t>签约状态、开始日期~终止日期：设置此计费方式是否生效及生效起止日期；——建议：状态与起止日期勾稽关系保持一致；</w:t>
      </w:r>
    </w:p>
    <w:p w14:paraId="7CC52B1A">
      <w:pPr>
        <w:pStyle w:val="27"/>
        <w:numPr>
          <w:ilvl w:val="1"/>
          <w:numId w:val="2"/>
        </w:numPr>
      </w:pPr>
      <w:r>
        <w:rPr>
          <w:rFonts w:hint="eastAsia"/>
        </w:rPr>
        <w:t>开始日期~终止日期：这个时间范围，默认采取头算、尾不算的模式；——仅此功能特殊处理；其余维护界面，均是头尾都参与计算！</w:t>
      </w:r>
    </w:p>
    <w:p w14:paraId="05AC4DDF">
      <w:pPr>
        <w:pStyle w:val="27"/>
        <w:numPr>
          <w:ilvl w:val="0"/>
          <w:numId w:val="2"/>
        </w:numPr>
      </w:pPr>
      <w:r>
        <w:rPr>
          <w:rFonts w:hint="eastAsia"/>
        </w:rPr>
        <w:t>计费类型：固定比例、分段；通常模式为“固定比例”；</w:t>
      </w:r>
    </w:p>
    <w:p w14:paraId="16E88016">
      <w:pPr>
        <w:pStyle w:val="27"/>
        <w:numPr>
          <w:ilvl w:val="0"/>
          <w:numId w:val="2"/>
        </w:numPr>
      </w:pPr>
      <w:r>
        <w:rPr>
          <w:rFonts w:hint="eastAsia"/>
        </w:rPr>
        <w:t>计费基准：通常是“留存手续费”，但是也可以支持其他不同计费基数类型，比如</w:t>
      </w:r>
      <w:r>
        <w:t xml:space="preserve"> </w:t>
      </w:r>
      <w:r>
        <w:rPr>
          <w:rFonts w:hint="eastAsia"/>
        </w:rPr>
        <w:t>交易所手续费、成交金额、成交手数等；</w:t>
      </w:r>
    </w:p>
    <w:p w14:paraId="233A5B88">
      <w:pPr>
        <w:pStyle w:val="27"/>
        <w:numPr>
          <w:ilvl w:val="0"/>
          <w:numId w:val="2"/>
        </w:numPr>
      </w:pPr>
      <w:r>
        <w:rPr>
          <w:rFonts w:hint="eastAsia"/>
        </w:rPr>
        <w:t>固定提成比例（金额）：当“计费类型”-“固定比例”时设置该要素；假设“计费基准”是成交手数，此处可能填写的是一个金额；</w:t>
      </w:r>
    </w:p>
    <w:p w14:paraId="4E814828">
      <w:pPr>
        <w:pStyle w:val="13"/>
      </w:pPr>
      <w:r>
        <w:rPr>
          <w:rFonts w:hint="eastAsia"/>
          <w:b/>
          <w:bCs/>
        </w:rPr>
        <w:t>提示</w:t>
      </w:r>
    </w:p>
    <w:p w14:paraId="376DF87F">
      <w:pPr>
        <w:pStyle w:val="13"/>
      </w:pPr>
      <w:r>
        <w:rPr>
          <w:rFonts w:hint="eastAsia"/>
        </w:rPr>
        <w:t>如果收费软件的“计费类型”需要使用分段模式，那么需要联系德索工程师！</w:t>
      </w:r>
    </w:p>
    <w:bookmarkEnd w:id="17"/>
    <w:p w14:paraId="6B9E751C">
      <w:pPr>
        <w:pStyle w:val="5"/>
      </w:pPr>
      <w:bookmarkStart w:id="18" w:name="_Toc6970"/>
      <w:bookmarkStart w:id="19" w:name="投资者终端计费信息审核"/>
      <w:r>
        <w:t xml:space="preserve">3. </w:t>
      </w:r>
      <w:r>
        <w:rPr>
          <w:rFonts w:hint="eastAsia"/>
        </w:rPr>
        <w:t>投资者终端计费信息审核</w:t>
      </w:r>
      <w:bookmarkEnd w:id="18"/>
    </w:p>
    <w:p w14:paraId="2C47DA81">
      <w:pPr>
        <w:pStyle w:val="26"/>
      </w:pPr>
      <w:r>
        <w:rPr>
          <w:rFonts w:hint="eastAsia"/>
        </w:rPr>
        <w:t>对新增的计费终端情况，或者修改后的计费情况，进行审核确认。审核通过的，才会生效；否则，不生效。</w:t>
      </w:r>
    </w:p>
    <w:p w14:paraId="1363B38A">
      <w:pPr>
        <w:pStyle w:val="3"/>
      </w:pPr>
      <w:r>
        <w:drawing>
          <wp:inline distT="0" distB="0" distL="114300" distR="114300">
            <wp:extent cx="5334000" cy="3649980"/>
            <wp:effectExtent l="0" t="0" r="0" b="0"/>
            <wp:docPr id="53"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descr="image.png"/>
                    <pic:cNvPicPr>
                      <a:picLocks noChangeAspect="1" noChangeArrowheads="1"/>
                    </pic:cNvPicPr>
                  </pic:nvPicPr>
                  <pic:blipFill>
                    <a:blip r:embed="rId13"/>
                    <a:stretch>
                      <a:fillRect/>
                    </a:stretch>
                  </pic:blipFill>
                  <pic:spPr>
                    <a:xfrm>
                      <a:off x="0" y="0"/>
                      <a:ext cx="5334000" cy="3650255"/>
                    </a:xfrm>
                    <a:prstGeom prst="rect">
                      <a:avLst/>
                    </a:prstGeom>
                    <a:noFill/>
                    <a:ln w="9525">
                      <a:noFill/>
                    </a:ln>
                  </pic:spPr>
                </pic:pic>
              </a:graphicData>
            </a:graphic>
          </wp:inline>
        </w:drawing>
      </w:r>
    </w:p>
    <w:bookmarkEnd w:id="19"/>
    <w:p w14:paraId="369C633D">
      <w:pPr>
        <w:pStyle w:val="5"/>
      </w:pPr>
      <w:bookmarkStart w:id="20" w:name="_Toc14191"/>
      <w:bookmarkStart w:id="21" w:name="投资者终端计费信息查询"/>
      <w:r>
        <w:t xml:space="preserve">4. </w:t>
      </w:r>
      <w:r>
        <w:rPr>
          <w:rFonts w:hint="eastAsia"/>
        </w:rPr>
        <w:t>投资者终端计费信息查询</w:t>
      </w:r>
      <w:bookmarkEnd w:id="20"/>
    </w:p>
    <w:p w14:paraId="42BA4BA8">
      <w:pPr>
        <w:pStyle w:val="26"/>
      </w:pPr>
      <w:r>
        <w:rPr>
          <w:rFonts w:hint="eastAsia"/>
        </w:rPr>
        <w:t>用于查询当前投资者使用计费终端的情况，包括软件、费用基准、收费比例、审核状态等。</w:t>
      </w:r>
    </w:p>
    <w:bookmarkEnd w:id="21"/>
    <w:p w14:paraId="3E74D952">
      <w:pPr>
        <w:pStyle w:val="5"/>
      </w:pPr>
      <w:bookmarkStart w:id="22" w:name="_Toc26419"/>
      <w:bookmarkStart w:id="23" w:name="软件费用查询"/>
      <w:r>
        <w:t xml:space="preserve">5. </w:t>
      </w:r>
      <w:r>
        <w:rPr>
          <w:rFonts w:hint="eastAsia"/>
        </w:rPr>
        <w:t>软件费用查询</w:t>
      </w:r>
      <w:bookmarkEnd w:id="22"/>
    </w:p>
    <w:p w14:paraId="63677404">
      <w:pPr>
        <w:pStyle w:val="26"/>
      </w:pPr>
      <w:r>
        <w:rPr>
          <w:rFonts w:hint="eastAsia"/>
        </w:rPr>
        <w:t>可以按不同的投资者终端，不同的营业部等口径进行统计，计算某段时间内、使用了收费软件的客户其交易成交情况、各类手续费、终端费用、留存等信息。</w:t>
      </w:r>
      <w:r>
        <w:t xml:space="preserve"> </w:t>
      </w:r>
      <w:r>
        <w:drawing>
          <wp:inline distT="0" distB="0" distL="114300" distR="114300">
            <wp:extent cx="5334000" cy="2480310"/>
            <wp:effectExtent l="0" t="0" r="0" b="0"/>
            <wp:docPr id="58"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descr="image.png"/>
                    <pic:cNvPicPr>
                      <a:picLocks noChangeAspect="1" noChangeArrowheads="1"/>
                    </pic:cNvPicPr>
                  </pic:nvPicPr>
                  <pic:blipFill>
                    <a:blip r:embed="rId14"/>
                    <a:stretch>
                      <a:fillRect/>
                    </a:stretch>
                  </pic:blipFill>
                  <pic:spPr>
                    <a:xfrm>
                      <a:off x="0" y="0"/>
                      <a:ext cx="5334000" cy="2480631"/>
                    </a:xfrm>
                    <a:prstGeom prst="rect">
                      <a:avLst/>
                    </a:prstGeom>
                    <a:noFill/>
                    <a:ln w="9525">
                      <a:noFill/>
                    </a:ln>
                  </pic:spPr>
                </pic:pic>
              </a:graphicData>
            </a:graphic>
          </wp:inline>
        </w:drawing>
      </w:r>
    </w:p>
    <w:bookmarkEnd w:id="23"/>
    <w:p w14:paraId="26A4799F">
      <w:pPr>
        <w:pStyle w:val="5"/>
      </w:pPr>
      <w:bookmarkStart w:id="24" w:name="_Toc19884"/>
      <w:bookmarkStart w:id="25" w:name="软件费用计算"/>
      <w:r>
        <w:t xml:space="preserve">6. </w:t>
      </w:r>
      <w:r>
        <w:rPr>
          <w:rFonts w:hint="eastAsia"/>
        </w:rPr>
        <w:t>软件费用计算</w:t>
      </w:r>
      <w:bookmarkEnd w:id="24"/>
    </w:p>
    <w:p w14:paraId="0C4B00F7">
      <w:pPr>
        <w:pStyle w:val="26"/>
      </w:pPr>
      <w:r>
        <w:rPr>
          <w:rFonts w:hint="eastAsia"/>
        </w:rPr>
        <w:t>此界面用于单独计算软件使用费，为应急功能，一般在发生【投资者终端计费信息维护】操作并审核通过、且需要看到调整数据生效结果时使用。</w:t>
      </w:r>
    </w:p>
    <w:p w14:paraId="033C96AE">
      <w:pPr>
        <w:pStyle w:val="27"/>
        <w:numPr>
          <w:ilvl w:val="0"/>
          <w:numId w:val="2"/>
        </w:numPr>
      </w:pPr>
      <w:r>
        <w:rPr>
          <w:rFonts w:hint="eastAsia"/>
        </w:rPr>
        <w:t>如果维护数据需要对上个月份生效，那么必须手工计算；</w:t>
      </w:r>
    </w:p>
    <w:p w14:paraId="68E47A59">
      <w:pPr>
        <w:pStyle w:val="27"/>
        <w:numPr>
          <w:ilvl w:val="0"/>
          <w:numId w:val="2"/>
        </w:numPr>
      </w:pPr>
      <w:r>
        <w:rPr>
          <w:rFonts w:hint="eastAsia"/>
        </w:rPr>
        <w:t>如果维护数据仅需要对当月生效，那么可以不执行，盘后跑批时系统会自动重算；</w:t>
      </w:r>
    </w:p>
    <w:p w14:paraId="75E972B4">
      <w:pPr>
        <w:pStyle w:val="26"/>
      </w:pPr>
      <w:r>
        <w:drawing>
          <wp:inline distT="0" distB="0" distL="114300" distR="114300">
            <wp:extent cx="4744720" cy="1562100"/>
            <wp:effectExtent l="0" t="0" r="0" b="0"/>
            <wp:docPr id="62"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descr="image.png"/>
                    <pic:cNvPicPr>
                      <a:picLocks noChangeAspect="1" noChangeArrowheads="1"/>
                    </pic:cNvPicPr>
                  </pic:nvPicPr>
                  <pic:blipFill>
                    <a:blip r:embed="rId15"/>
                    <a:stretch>
                      <a:fillRect/>
                    </a:stretch>
                  </pic:blipFill>
                  <pic:spPr>
                    <a:xfrm>
                      <a:off x="0" y="0"/>
                      <a:ext cx="4744799" cy="1562544"/>
                    </a:xfrm>
                    <a:prstGeom prst="rect">
                      <a:avLst/>
                    </a:prstGeom>
                    <a:noFill/>
                    <a:ln w="9525">
                      <a:noFill/>
                    </a:ln>
                  </pic:spPr>
                </pic:pic>
              </a:graphicData>
            </a:graphic>
          </wp:inline>
        </w:drawing>
      </w:r>
    </w:p>
    <w:p w14:paraId="40429FD2">
      <w:pPr>
        <w:pStyle w:val="3"/>
      </w:pPr>
      <w:r>
        <w:rPr>
          <w:rFonts w:hint="eastAsia"/>
        </w:rPr>
        <w:t>常见的业务流程是先计算软件使用费，再计算居间人、员工提成。</w:t>
      </w:r>
    </w:p>
    <w:bookmarkEnd w:id="13"/>
    <w:bookmarkEnd w:id="25"/>
    <w:p w14:paraId="2AC06907">
      <w:pPr>
        <w:pStyle w:val="4"/>
      </w:pPr>
      <w:bookmarkStart w:id="26" w:name="_Toc28709"/>
      <w:bookmarkStart w:id="27" w:name="四居间人管理模块-使用说明"/>
      <w:r>
        <w:rPr>
          <w:rFonts w:hint="eastAsia"/>
        </w:rPr>
        <w:t>四、居间人管理模块</w:t>
      </w:r>
      <w:r>
        <w:t xml:space="preserve"> </w:t>
      </w:r>
      <w:r>
        <w:rPr>
          <w:rFonts w:hint="eastAsia"/>
        </w:rPr>
        <w:t>使用说明</w:t>
      </w:r>
      <w:bookmarkEnd w:id="26"/>
    </w:p>
    <w:p w14:paraId="1E865BE6">
      <w:pPr>
        <w:pStyle w:val="26"/>
      </w:pPr>
      <w:r>
        <w:rPr>
          <w:rFonts w:hint="eastAsia"/>
        </w:rPr>
        <w:t>主要包含以下几个子模块：</w:t>
      </w:r>
    </w:p>
    <w:p w14:paraId="7DE74EA1">
      <w:pPr>
        <w:pStyle w:val="27"/>
        <w:numPr>
          <w:ilvl w:val="0"/>
          <w:numId w:val="3"/>
        </w:numPr>
      </w:pPr>
      <w:r>
        <w:rPr>
          <w:rFonts w:hint="eastAsia"/>
          <w:b/>
          <w:bCs/>
        </w:rPr>
        <w:t>居间人信息管理</w:t>
      </w:r>
      <w:r>
        <w:rPr>
          <w:rFonts w:hint="eastAsia"/>
        </w:rPr>
        <w:t>：用于维护居间人员信息，包括资料和附件，并提供</w:t>
      </w:r>
      <w:r>
        <w:rPr>
          <w:rFonts w:hint="eastAsia"/>
          <w:b/>
          <w:bCs/>
        </w:rPr>
        <w:t>利益冲突筛查</w:t>
      </w:r>
      <w:r>
        <w:rPr>
          <w:rFonts w:hint="eastAsia"/>
        </w:rPr>
        <w:t>；</w:t>
      </w:r>
    </w:p>
    <w:p w14:paraId="5E605771">
      <w:pPr>
        <w:pStyle w:val="27"/>
        <w:numPr>
          <w:ilvl w:val="0"/>
          <w:numId w:val="3"/>
        </w:numPr>
      </w:pPr>
      <w:r>
        <w:rPr>
          <w:rFonts w:hint="eastAsia"/>
          <w:b/>
          <w:bCs/>
        </w:rPr>
        <w:t>居间人业绩关系管理</w:t>
      </w:r>
      <w:r>
        <w:rPr>
          <w:rFonts w:hint="eastAsia"/>
        </w:rPr>
        <w:t>：用于维护业绩关系，包含提成比例，并提供</w:t>
      </w:r>
      <w:r>
        <w:rPr>
          <w:rFonts w:hint="eastAsia"/>
          <w:b/>
          <w:bCs/>
        </w:rPr>
        <w:t>利益冲突筛查</w:t>
      </w:r>
      <w:r>
        <w:rPr>
          <w:rFonts w:hint="eastAsia"/>
        </w:rPr>
        <w:t>；</w:t>
      </w:r>
    </w:p>
    <w:p w14:paraId="51FDF7E7">
      <w:pPr>
        <w:pStyle w:val="27"/>
        <w:numPr>
          <w:ilvl w:val="0"/>
          <w:numId w:val="3"/>
        </w:numPr>
      </w:pPr>
      <w:r>
        <w:rPr>
          <w:rFonts w:hint="eastAsia"/>
          <w:b/>
          <w:bCs/>
        </w:rPr>
        <w:t>居间人业绩公式管理:</w:t>
      </w:r>
      <w:r>
        <w:t xml:space="preserve"> </w:t>
      </w:r>
      <w:r>
        <w:rPr>
          <w:rFonts w:hint="eastAsia"/>
        </w:rPr>
        <w:t>用于维护比较复杂的提成计算公式，比如提成比例可以使用分段定额、分段超额的方式设置；</w:t>
      </w:r>
    </w:p>
    <w:p w14:paraId="5D3C8D09">
      <w:pPr>
        <w:pStyle w:val="27"/>
        <w:numPr>
          <w:ilvl w:val="0"/>
          <w:numId w:val="3"/>
        </w:numPr>
      </w:pPr>
      <w:r>
        <w:rPr>
          <w:rFonts w:hint="eastAsia"/>
          <w:b/>
          <w:bCs/>
        </w:rPr>
        <w:t>业绩报表</w:t>
      </w:r>
      <w:r>
        <w:rPr>
          <w:rFonts w:hint="eastAsia"/>
        </w:rPr>
        <w:t>：用于展示居间人业绩数据；</w:t>
      </w:r>
    </w:p>
    <w:p w14:paraId="40E986B9">
      <w:pPr>
        <w:pStyle w:val="27"/>
        <w:numPr>
          <w:ilvl w:val="0"/>
          <w:numId w:val="3"/>
        </w:numPr>
      </w:pPr>
      <w:r>
        <w:rPr>
          <w:rFonts w:hint="eastAsia"/>
          <w:b/>
          <w:bCs/>
        </w:rPr>
        <w:t>防范利益冲突筛查</w:t>
      </w:r>
      <w:r>
        <w:rPr>
          <w:rFonts w:hint="eastAsia"/>
        </w:rPr>
        <w:t>：记录居间信息</w:t>
      </w:r>
      <w:r>
        <w:t xml:space="preserve"> </w:t>
      </w:r>
      <w:r>
        <w:rPr>
          <w:rFonts w:hint="eastAsia"/>
        </w:rPr>
        <w:t>及</w:t>
      </w:r>
      <w:r>
        <w:t xml:space="preserve"> </w:t>
      </w:r>
      <w:r>
        <w:rPr>
          <w:rFonts w:hint="eastAsia"/>
        </w:rPr>
        <w:t>业绩关系数据产生的利益冲突筛查结果；</w:t>
      </w:r>
    </w:p>
    <w:p w14:paraId="41D41E3E">
      <w:pPr>
        <w:pStyle w:val="27"/>
        <w:numPr>
          <w:ilvl w:val="0"/>
          <w:numId w:val="3"/>
        </w:numPr>
      </w:pPr>
      <w:r>
        <w:rPr>
          <w:rFonts w:hint="eastAsia"/>
          <w:b/>
          <w:bCs/>
        </w:rPr>
        <w:t>居间客户回访管理</w:t>
      </w:r>
      <w:r>
        <w:rPr>
          <w:rFonts w:hint="eastAsia"/>
        </w:rPr>
        <w:t>：按一定的规则(异常交易)生成需要回访的投资者列表及对应的回访动作；</w:t>
      </w:r>
    </w:p>
    <w:p w14:paraId="5430F42E">
      <w:pPr>
        <w:pStyle w:val="27"/>
        <w:numPr>
          <w:ilvl w:val="0"/>
          <w:numId w:val="3"/>
        </w:numPr>
      </w:pPr>
      <w:r>
        <w:rPr>
          <w:rFonts w:hint="eastAsia"/>
          <w:b/>
          <w:bCs/>
        </w:rPr>
        <w:t>信息登记</w:t>
      </w:r>
      <w:r>
        <w:rPr>
          <w:rFonts w:hint="eastAsia"/>
        </w:rPr>
        <w:t>：用于维护居间人培训，违规记录，客户投诉及处理情况；</w:t>
      </w:r>
    </w:p>
    <w:p w14:paraId="775E8FB2">
      <w:pPr>
        <w:pStyle w:val="26"/>
      </w:pPr>
      <w:r>
        <w:drawing>
          <wp:inline distT="0" distB="0" distL="114300" distR="114300">
            <wp:extent cx="1961515" cy="5238115"/>
            <wp:effectExtent l="0" t="0" r="0" b="0"/>
            <wp:docPr id="67"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descr="image.png"/>
                    <pic:cNvPicPr>
                      <a:picLocks noChangeAspect="1" noChangeArrowheads="1"/>
                    </pic:cNvPicPr>
                  </pic:nvPicPr>
                  <pic:blipFill>
                    <a:blip r:embed="rId16"/>
                    <a:stretch>
                      <a:fillRect/>
                    </a:stretch>
                  </pic:blipFill>
                  <pic:spPr>
                    <a:xfrm>
                      <a:off x="0" y="0"/>
                      <a:ext cx="1961999" cy="5238349"/>
                    </a:xfrm>
                    <a:prstGeom prst="rect">
                      <a:avLst/>
                    </a:prstGeom>
                    <a:noFill/>
                    <a:ln w="9525">
                      <a:noFill/>
                    </a:ln>
                  </pic:spPr>
                </pic:pic>
              </a:graphicData>
            </a:graphic>
          </wp:inline>
        </w:drawing>
      </w:r>
    </w:p>
    <w:p w14:paraId="5A4E894B">
      <w:pPr>
        <w:pStyle w:val="3"/>
      </w:pPr>
      <w:r>
        <w:rPr>
          <w:rFonts w:hint="eastAsia"/>
        </w:rPr>
        <w:t>此模块用以管理居间人基本信息、居间业绩关系、居间业绩公式等基础数据，提供单独针对居间主体发起佣金提成计算的功能，并可以查询居间主体的相关业务报表。</w:t>
      </w:r>
    </w:p>
    <w:p w14:paraId="2ACBF5E1">
      <w:pPr>
        <w:pStyle w:val="3"/>
      </w:pPr>
      <w:r>
        <w:rPr>
          <w:rFonts w:hint="eastAsia"/>
        </w:rPr>
        <w:t>其中，此模块中维护的提成比例，主要是针对留存手续费部分的提成；而居间人提取名下客户的交易所返还比例和利息返还比例，则应该分别到【交易所返还管理】-&gt;【公式维护】、【利息返还管理】-&gt;【公式维护】中设置。</w:t>
      </w:r>
    </w:p>
    <w:p w14:paraId="5B005A48">
      <w:pPr>
        <w:pStyle w:val="3"/>
      </w:pPr>
      <w:r>
        <w:rPr>
          <w:rFonts w:hint="eastAsia"/>
        </w:rPr>
        <w:t>【居间信息管理】、【居间业绩关系管理】、【居间业绩公式管理】这几个子模块中，均可以进行“提成比例”设置，系统在各个主体佣金提成计算时按照一定的优先级来获取实际生效的提成比例：</w:t>
      </w:r>
    </w:p>
    <w:p w14:paraId="5B3868EB">
      <w:pPr>
        <w:pStyle w:val="27"/>
        <w:numPr>
          <w:ilvl w:val="0"/>
          <w:numId w:val="2"/>
        </w:numPr>
      </w:pPr>
      <w:r>
        <w:rPr>
          <w:rFonts w:hint="eastAsia"/>
        </w:rPr>
        <w:t>居间业绩公式管理：优先级最高</w:t>
      </w:r>
    </w:p>
    <w:p w14:paraId="13F003F3">
      <w:pPr>
        <w:pStyle w:val="27"/>
        <w:numPr>
          <w:ilvl w:val="0"/>
          <w:numId w:val="2"/>
        </w:numPr>
      </w:pPr>
      <w:r>
        <w:rPr>
          <w:rFonts w:hint="eastAsia"/>
        </w:rPr>
        <w:t>居间业绩关系管理：优先级次之</w:t>
      </w:r>
    </w:p>
    <w:p w14:paraId="698C9CCB">
      <w:pPr>
        <w:pStyle w:val="27"/>
        <w:numPr>
          <w:ilvl w:val="0"/>
          <w:numId w:val="2"/>
        </w:numPr>
      </w:pPr>
      <w:r>
        <w:rPr>
          <w:rFonts w:hint="eastAsia"/>
        </w:rPr>
        <w:t>居间信息管理：优先级最低</w:t>
      </w:r>
    </w:p>
    <w:p w14:paraId="310FB1B9">
      <w:r>
        <w:pict>
          <v:rect id="_x0000_i1026" o:spt="1" style="height:1.5pt;width:0pt;" coordsize="21600,21600" o:hr="t" o:hrstd="t" o:hralign="center">
            <v:path/>
            <v:fill focussize="0,0"/>
            <v:stroke/>
            <v:imagedata o:title=""/>
            <o:lock v:ext="edit"/>
            <w10:wrap type="none"/>
            <w10:anchorlock/>
          </v:rect>
        </w:pict>
      </w:r>
    </w:p>
    <w:p w14:paraId="3BE00D4E">
      <w:pPr>
        <w:pStyle w:val="5"/>
      </w:pPr>
      <w:bookmarkStart w:id="28" w:name="_Toc8575"/>
      <w:bookmarkStart w:id="29" w:name="居间人信息管理"/>
      <w:r>
        <w:t xml:space="preserve">1. </w:t>
      </w:r>
      <w:r>
        <w:rPr>
          <w:rFonts w:hint="eastAsia"/>
        </w:rPr>
        <w:t>居间人信息管理</w:t>
      </w:r>
      <w:bookmarkEnd w:id="28"/>
    </w:p>
    <w:p w14:paraId="65A732C8">
      <w:pPr>
        <w:pStyle w:val="6"/>
      </w:pPr>
      <w:bookmarkStart w:id="30" w:name="居间人信息查询"/>
      <w:r>
        <w:t xml:space="preserve">1.1 </w:t>
      </w:r>
      <w:r>
        <w:rPr>
          <w:rFonts w:hint="eastAsia"/>
        </w:rPr>
        <w:t>居间人信息查询</w:t>
      </w:r>
    </w:p>
    <w:p w14:paraId="6B00558A">
      <w:pPr>
        <w:pStyle w:val="26"/>
      </w:pPr>
      <w:r>
        <w:drawing>
          <wp:inline distT="0" distB="0" distL="114300" distR="114300">
            <wp:extent cx="5334000" cy="2665095"/>
            <wp:effectExtent l="0" t="0" r="0" b="0"/>
            <wp:docPr id="70"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descr="image.png"/>
                    <pic:cNvPicPr>
                      <a:picLocks noChangeAspect="1" noChangeArrowheads="1"/>
                    </pic:cNvPicPr>
                  </pic:nvPicPr>
                  <pic:blipFill>
                    <a:blip r:embed="rId17"/>
                    <a:stretch>
                      <a:fillRect/>
                    </a:stretch>
                  </pic:blipFill>
                  <pic:spPr>
                    <a:xfrm>
                      <a:off x="0" y="0"/>
                      <a:ext cx="5334000" cy="2665426"/>
                    </a:xfrm>
                    <a:prstGeom prst="rect">
                      <a:avLst/>
                    </a:prstGeom>
                    <a:noFill/>
                    <a:ln w="9525">
                      <a:noFill/>
                    </a:ln>
                  </pic:spPr>
                </pic:pic>
              </a:graphicData>
            </a:graphic>
          </wp:inline>
        </w:drawing>
      </w:r>
    </w:p>
    <w:p w14:paraId="2AF43F0D">
      <w:pPr>
        <w:pStyle w:val="3"/>
      </w:pPr>
      <w:r>
        <w:rPr>
          <w:rFonts w:hint="eastAsia"/>
        </w:rPr>
        <w:t>用于查询、导出系统目前已经录入的居间人信息，</w:t>
      </w:r>
      <w:r>
        <w:rPr>
          <w:rFonts w:hint="eastAsia"/>
          <w:b/>
          <w:bCs/>
        </w:rPr>
        <w:t>包括</w:t>
      </w:r>
      <w:r>
        <w:rPr>
          <w:rFonts w:hint="eastAsia"/>
        </w:rPr>
        <w:t>所有</w:t>
      </w:r>
      <w:r>
        <w:rPr>
          <w:rFonts w:hint="eastAsia"/>
          <w:b/>
          <w:bCs/>
        </w:rPr>
        <w:t>审核通过</w:t>
      </w:r>
      <w:r>
        <w:rPr>
          <w:b/>
          <w:bCs/>
        </w:rPr>
        <w:t xml:space="preserve"> </w:t>
      </w:r>
      <w:r>
        <w:rPr>
          <w:rFonts w:hint="eastAsia"/>
          <w:b/>
          <w:bCs/>
        </w:rPr>
        <w:t>及</w:t>
      </w:r>
      <w:r>
        <w:rPr>
          <w:b/>
          <w:bCs/>
        </w:rPr>
        <w:t xml:space="preserve"> </w:t>
      </w:r>
      <w:r>
        <w:rPr>
          <w:rFonts w:hint="eastAsia"/>
          <w:b/>
          <w:bCs/>
        </w:rPr>
        <w:t>未通过</w:t>
      </w:r>
      <w:r>
        <w:rPr>
          <w:rFonts w:hint="eastAsia"/>
        </w:rPr>
        <w:t>的居间人信息。</w:t>
      </w:r>
    </w:p>
    <w:p w14:paraId="3FAE4BE4">
      <w:pPr>
        <w:pStyle w:val="13"/>
      </w:pPr>
      <w:r>
        <w:rPr>
          <w:rFonts w:hint="eastAsia"/>
          <w:b/>
          <w:bCs/>
        </w:rPr>
        <w:t>提示</w:t>
      </w:r>
    </w:p>
    <w:p w14:paraId="2C7CF503">
      <w:pPr>
        <w:pStyle w:val="13"/>
      </w:pPr>
      <w:r>
        <w:rPr>
          <w:rFonts w:hint="eastAsia"/>
        </w:rPr>
        <w:t>列表区的</w:t>
      </w:r>
      <w:r>
        <w:rPr>
          <w:rFonts w:hint="eastAsia"/>
          <w:b/>
          <w:bCs/>
        </w:rPr>
        <w:t>公共字段</w:t>
      </w:r>
      <w:r>
        <w:rPr>
          <w:rFonts w:hint="eastAsia"/>
        </w:rPr>
        <w:t>都支持排序，</w:t>
      </w:r>
      <w:r>
        <w:rPr>
          <w:rFonts w:hint="eastAsia"/>
          <w:b/>
          <w:bCs/>
        </w:rPr>
        <w:t>自定义字段</w:t>
      </w:r>
      <w:r>
        <w:rPr>
          <w:rFonts w:hint="eastAsia"/>
        </w:rPr>
        <w:t>暂不支持排序功能；</w:t>
      </w:r>
    </w:p>
    <w:p w14:paraId="79B9F435">
      <w:pPr>
        <w:pStyle w:val="13"/>
      </w:pPr>
      <w:r>
        <w:rPr>
          <w:rFonts w:hint="eastAsia"/>
        </w:rPr>
        <w:t>查询区的筛选条件</w:t>
      </w:r>
      <w:r>
        <w:t xml:space="preserve"> </w:t>
      </w:r>
      <w:r>
        <w:rPr>
          <w:rFonts w:hint="eastAsia"/>
        </w:rPr>
        <w:t>以及</w:t>
      </w:r>
      <w:r>
        <w:t xml:space="preserve"> </w:t>
      </w:r>
      <w:r>
        <w:rPr>
          <w:rFonts w:hint="eastAsia"/>
        </w:rPr>
        <w:t>列表区的表头</w:t>
      </w:r>
      <w:r>
        <w:t xml:space="preserve"> </w:t>
      </w:r>
      <w:r>
        <w:rPr>
          <w:rFonts w:hint="eastAsia"/>
        </w:rPr>
        <w:t>都支持自定义配置</w:t>
      </w:r>
    </w:p>
    <w:p w14:paraId="3D765654">
      <w:pPr>
        <w:pStyle w:val="13"/>
      </w:pPr>
      <w:r>
        <w:rPr>
          <w:rFonts w:hint="eastAsia"/>
        </w:rPr>
        <w:t>双击列表区里的一条记录，可以查看该条记录的详情；</w:t>
      </w:r>
    </w:p>
    <w:p w14:paraId="49A2A7A3">
      <w:pPr>
        <w:pStyle w:val="26"/>
      </w:pPr>
      <w:r>
        <w:drawing>
          <wp:inline distT="0" distB="0" distL="114300" distR="114300">
            <wp:extent cx="4495800" cy="5915660"/>
            <wp:effectExtent l="0" t="0" r="0" b="0"/>
            <wp:docPr id="73"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descr="image.png"/>
                    <pic:cNvPicPr>
                      <a:picLocks noChangeAspect="1" noChangeArrowheads="1"/>
                    </pic:cNvPicPr>
                  </pic:nvPicPr>
                  <pic:blipFill>
                    <a:blip r:embed="rId18"/>
                    <a:stretch>
                      <a:fillRect/>
                    </a:stretch>
                  </pic:blipFill>
                  <pic:spPr>
                    <a:xfrm>
                      <a:off x="0" y="0"/>
                      <a:ext cx="4496399" cy="5915814"/>
                    </a:xfrm>
                    <a:prstGeom prst="rect">
                      <a:avLst/>
                    </a:prstGeom>
                    <a:noFill/>
                    <a:ln w="9525">
                      <a:noFill/>
                    </a:ln>
                  </pic:spPr>
                </pic:pic>
              </a:graphicData>
            </a:graphic>
          </wp:inline>
        </w:drawing>
      </w:r>
    </w:p>
    <w:p w14:paraId="12088F1B">
      <w:pPr>
        <w:pStyle w:val="3"/>
      </w:pPr>
      <w:r>
        <w:rPr>
          <w:rFonts w:hint="eastAsia"/>
        </w:rPr>
        <w:t>查询的列表仅展示居间人的文字资料信息，附件类信息需要在详情页查看；</w:t>
      </w:r>
    </w:p>
    <w:p w14:paraId="5DC98DEB">
      <w:pPr>
        <w:pStyle w:val="3"/>
      </w:pPr>
      <w:r>
        <w:rPr>
          <w:rFonts w:hint="eastAsia"/>
        </w:rPr>
        <w:t>居间人信息在审核通过之后，对应的附件资料会自动归档到</w:t>
      </w:r>
      <w:r>
        <w:rPr>
          <w:rFonts w:hint="eastAsia"/>
          <w:b/>
          <w:bCs/>
        </w:rPr>
        <w:t>影像资料系统</w:t>
      </w:r>
      <w:r>
        <w:rPr>
          <w:rFonts w:hint="eastAsia"/>
        </w:rPr>
        <w:t>里；</w:t>
      </w:r>
    </w:p>
    <w:p w14:paraId="4F1CE4EF">
      <w:pPr>
        <w:pStyle w:val="3"/>
      </w:pPr>
      <w:r>
        <w:rPr>
          <w:rFonts w:hint="eastAsia"/>
        </w:rPr>
        <w:t>可以在【影像资料查询】或者【服务归档查询】里，根据账号类型（选”居间”）能快速查到；</w:t>
      </w:r>
    </w:p>
    <w:p w14:paraId="6A6A9E4B">
      <w:pPr>
        <w:pStyle w:val="3"/>
      </w:pPr>
      <w:r>
        <w:drawing>
          <wp:inline distT="0" distB="0" distL="114300" distR="114300">
            <wp:extent cx="5334000" cy="1172845"/>
            <wp:effectExtent l="0" t="0" r="0" b="0"/>
            <wp:docPr id="76"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descr="image.png"/>
                    <pic:cNvPicPr>
                      <a:picLocks noChangeAspect="1" noChangeArrowheads="1"/>
                    </pic:cNvPicPr>
                  </pic:nvPicPr>
                  <pic:blipFill>
                    <a:blip r:embed="rId19"/>
                    <a:stretch>
                      <a:fillRect/>
                    </a:stretch>
                  </pic:blipFill>
                  <pic:spPr>
                    <a:xfrm>
                      <a:off x="0" y="0"/>
                      <a:ext cx="5334000" cy="1173251"/>
                    </a:xfrm>
                    <a:prstGeom prst="rect">
                      <a:avLst/>
                    </a:prstGeom>
                    <a:noFill/>
                    <a:ln w="9525">
                      <a:noFill/>
                    </a:ln>
                  </pic:spPr>
                </pic:pic>
              </a:graphicData>
            </a:graphic>
          </wp:inline>
        </w:drawing>
      </w:r>
      <w:r>
        <w:t xml:space="preserve"> </w:t>
      </w:r>
      <w:r>
        <w:drawing>
          <wp:inline distT="0" distB="0" distL="114300" distR="114300">
            <wp:extent cx="5334000" cy="1129030"/>
            <wp:effectExtent l="0" t="0" r="0" b="0"/>
            <wp:docPr id="79"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descr="image.png"/>
                    <pic:cNvPicPr>
                      <a:picLocks noChangeAspect="1" noChangeArrowheads="1"/>
                    </pic:cNvPicPr>
                  </pic:nvPicPr>
                  <pic:blipFill>
                    <a:blip r:embed="rId20"/>
                    <a:stretch>
                      <a:fillRect/>
                    </a:stretch>
                  </pic:blipFill>
                  <pic:spPr>
                    <a:xfrm>
                      <a:off x="0" y="0"/>
                      <a:ext cx="5334000" cy="1129257"/>
                    </a:xfrm>
                    <a:prstGeom prst="rect">
                      <a:avLst/>
                    </a:prstGeom>
                    <a:noFill/>
                    <a:ln w="9525">
                      <a:noFill/>
                    </a:ln>
                  </pic:spPr>
                </pic:pic>
              </a:graphicData>
            </a:graphic>
          </wp:inline>
        </w:drawing>
      </w:r>
    </w:p>
    <w:bookmarkEnd w:id="30"/>
    <w:p w14:paraId="7B9219CD">
      <w:pPr>
        <w:pStyle w:val="6"/>
      </w:pPr>
      <w:bookmarkStart w:id="31" w:name="居间人信息维护"/>
      <w:r>
        <w:t xml:space="preserve">1.2 </w:t>
      </w:r>
      <w:r>
        <w:rPr>
          <w:rFonts w:hint="eastAsia"/>
        </w:rPr>
        <w:t>居间人信息维护</w:t>
      </w:r>
    </w:p>
    <w:p w14:paraId="1D4D1CA7">
      <w:pPr>
        <w:pStyle w:val="26"/>
      </w:pPr>
      <w:r>
        <w:rPr>
          <w:rFonts w:hint="eastAsia"/>
        </w:rPr>
        <w:t>居间人的增、删、改、查都可在此界面操作，其中查询功能与【1.1</w:t>
      </w:r>
      <w:r>
        <w:t xml:space="preserve"> </w:t>
      </w:r>
      <w:r>
        <w:rPr>
          <w:rFonts w:hint="eastAsia"/>
        </w:rPr>
        <w:t>居间人信息查询】一样，下面主要介绍增、删、改功能；</w:t>
      </w:r>
    </w:p>
    <w:p w14:paraId="6BE2A8CE">
      <w:pPr>
        <w:pStyle w:val="27"/>
        <w:numPr>
          <w:ilvl w:val="0"/>
          <w:numId w:val="2"/>
        </w:numPr>
      </w:pPr>
      <w:r>
        <w:rPr>
          <w:rFonts w:hint="eastAsia"/>
          <w:b/>
          <w:bCs/>
        </w:rPr>
        <w:t>新增</w:t>
      </w:r>
    </w:p>
    <w:p w14:paraId="4C922623">
      <w:pPr>
        <w:pStyle w:val="26"/>
      </w:pPr>
      <w:r>
        <w:rPr>
          <w:rFonts w:hint="eastAsia"/>
        </w:rPr>
        <w:t>作为新增居间人信息的入口，页面的设计思路：</w:t>
      </w:r>
    </w:p>
    <w:p w14:paraId="1454AD10">
      <w:pPr>
        <w:pStyle w:val="3"/>
      </w:pPr>
      <w:r>
        <w:drawing>
          <wp:inline distT="0" distB="0" distL="114300" distR="114300">
            <wp:extent cx="5334000" cy="1446530"/>
            <wp:effectExtent l="0" t="0" r="0" b="0"/>
            <wp:docPr id="83"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descr="image.png"/>
                    <pic:cNvPicPr>
                      <a:picLocks noChangeAspect="1" noChangeArrowheads="1"/>
                    </pic:cNvPicPr>
                  </pic:nvPicPr>
                  <pic:blipFill>
                    <a:blip r:embed="rId21"/>
                    <a:stretch>
                      <a:fillRect/>
                    </a:stretch>
                  </pic:blipFill>
                  <pic:spPr>
                    <a:xfrm>
                      <a:off x="0" y="0"/>
                      <a:ext cx="5334000" cy="1447150"/>
                    </a:xfrm>
                    <a:prstGeom prst="rect">
                      <a:avLst/>
                    </a:prstGeom>
                    <a:noFill/>
                    <a:ln w="9525">
                      <a:noFill/>
                    </a:ln>
                  </pic:spPr>
                </pic:pic>
              </a:graphicData>
            </a:graphic>
          </wp:inline>
        </w:drawing>
      </w:r>
    </w:p>
    <w:p w14:paraId="3E5C5166">
      <w:pPr>
        <w:pStyle w:val="3"/>
      </w:pPr>
      <w:r>
        <w:rPr>
          <w:rFonts w:hint="eastAsia"/>
        </w:rPr>
        <w:t>系统会提供一个</w:t>
      </w:r>
      <w:r>
        <w:rPr>
          <w:rFonts w:hint="eastAsia"/>
          <w:b/>
          <w:bCs/>
        </w:rPr>
        <w:t>默认</w:t>
      </w:r>
      <w:r>
        <w:rPr>
          <w:rFonts w:hint="eastAsia"/>
        </w:rPr>
        <w:t>的录入界面，包含行业通用字段，同时也支持期货公司根据自身需要调整录入界面的内容、顺序；</w:t>
      </w:r>
    </w:p>
    <w:p w14:paraId="070EAA97">
      <w:pPr>
        <w:pStyle w:val="3"/>
      </w:pPr>
      <w:r>
        <w:drawing>
          <wp:inline distT="0" distB="0" distL="114300" distR="114300">
            <wp:extent cx="5334000" cy="3415030"/>
            <wp:effectExtent l="0" t="0" r="0" b="0"/>
            <wp:docPr id="86"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descr="image.png"/>
                    <pic:cNvPicPr>
                      <a:picLocks noChangeAspect="1" noChangeArrowheads="1"/>
                    </pic:cNvPicPr>
                  </pic:nvPicPr>
                  <pic:blipFill>
                    <a:blip r:embed="rId22"/>
                    <a:stretch>
                      <a:fillRect/>
                    </a:stretch>
                  </pic:blipFill>
                  <pic:spPr>
                    <a:xfrm>
                      <a:off x="0" y="0"/>
                      <a:ext cx="5334000" cy="3415378"/>
                    </a:xfrm>
                    <a:prstGeom prst="rect">
                      <a:avLst/>
                    </a:prstGeom>
                    <a:noFill/>
                    <a:ln w="9525">
                      <a:noFill/>
                    </a:ln>
                  </pic:spPr>
                </pic:pic>
              </a:graphicData>
            </a:graphic>
          </wp:inline>
        </w:drawing>
      </w:r>
    </w:p>
    <w:p w14:paraId="46F8A60B">
      <w:pPr>
        <w:pStyle w:val="13"/>
      </w:pPr>
      <w:r>
        <w:rPr>
          <w:rFonts w:hint="eastAsia"/>
        </w:rPr>
        <w:t>字段解释：</w:t>
      </w:r>
      <w:r>
        <w:t xml:space="preserve"> - </w:t>
      </w:r>
      <w:r>
        <w:rPr>
          <w:rFonts w:hint="eastAsia"/>
        </w:rPr>
        <w:t>根据居间人类型，选择自然人居间或法人居间；并根据居间人类型，填写相关证件信息等；</w:t>
      </w:r>
      <w:r>
        <w:t xml:space="preserve"> - </w:t>
      </w:r>
      <w:r>
        <w:rPr>
          <w:rFonts w:hint="eastAsia"/>
        </w:rPr>
        <w:t>所属部门：居间人归属的业务部门；此处的部门设置，跟其开发的投资者归属部门没有直接限制或约束关系；也即，投资者跟居间人不在同一个部门，也可能投资者分散在多个不同部门；</w:t>
      </w:r>
      <w:r>
        <w:t xml:space="preserve"> - </w:t>
      </w:r>
      <w:r>
        <w:rPr>
          <w:rFonts w:hint="eastAsia"/>
        </w:rPr>
        <w:t>状态：分活跃和注销，若“注销”则该居间人不再参与提成计算；</w:t>
      </w:r>
      <w:r>
        <w:t xml:space="preserve"> - </w:t>
      </w:r>
      <w:r>
        <w:rPr>
          <w:rFonts w:hint="eastAsia"/>
        </w:rPr>
        <w:t>开始日期</w:t>
      </w:r>
      <w:r>
        <w:t xml:space="preserve"> </w:t>
      </w:r>
      <w:r>
        <w:rPr>
          <w:rFonts w:hint="eastAsia"/>
        </w:rPr>
        <w:t>和</w:t>
      </w:r>
      <w:r>
        <w:t xml:space="preserve"> </w:t>
      </w:r>
      <w:r>
        <w:rPr>
          <w:rFonts w:hint="eastAsia"/>
        </w:rPr>
        <w:t>结束日期，对应居间合同上的日期，应注意此处的开始时间不能晚于【居间业绩关系维护】中的开始时间，否则日终数据处理的时候会将居间业绩关系中的开始时间置为居间人信息中的开始时间；</w:t>
      </w:r>
      <w:r>
        <w:t xml:space="preserve"> - </w:t>
      </w:r>
      <w:r>
        <w:rPr>
          <w:rFonts w:hint="eastAsia"/>
        </w:rPr>
        <w:t>默认提成比例、是否扣税、是否扣减风险金：默认是不需要扣税，并且扣除风险金；</w:t>
      </w:r>
      <w:r>
        <w:t xml:space="preserve"> - </w:t>
      </w:r>
      <w:r>
        <w:rPr>
          <w:rFonts w:hint="eastAsia"/>
        </w:rPr>
        <w:t>这三项内容在【居间业绩关系维护】中也可以录入，根据期货公司自身的使用习惯可以进行灵活配置；</w:t>
      </w:r>
      <w:r>
        <w:t xml:space="preserve"> - </w:t>
      </w:r>
      <w:r>
        <w:rPr>
          <w:rFonts w:hint="eastAsia"/>
        </w:rPr>
        <w:t>若两个地方都维护，居间业绩关系中的优先级更高，以【居间业绩关系维护】界面录入的为准；</w:t>
      </w:r>
      <w:r>
        <w:t xml:space="preserve"> - </w:t>
      </w:r>
      <w:r>
        <w:rPr>
          <w:rFonts w:hint="eastAsia"/>
        </w:rPr>
        <w:t>更多设置要素，以公司针对居间人信息管理要求为准。</w:t>
      </w:r>
    </w:p>
    <w:p w14:paraId="56ED7CA8">
      <w:pPr>
        <w:pStyle w:val="26"/>
      </w:pPr>
      <w:r>
        <w:rPr>
          <w:rFonts w:hint="eastAsia"/>
        </w:rPr>
        <w:t>新增保存之后，系统会自动</w:t>
      </w:r>
      <w:r>
        <w:rPr>
          <w:rFonts w:hint="eastAsia"/>
          <w:b/>
          <w:bCs/>
        </w:rPr>
        <w:t>触发居间人的利益冲突筛查</w:t>
      </w:r>
      <w:r>
        <w:rPr>
          <w:rFonts w:hint="eastAsia"/>
        </w:rPr>
        <w:t>程序，并将</w:t>
      </w:r>
      <w:r>
        <w:rPr>
          <w:rFonts w:hint="eastAsia"/>
          <w:b/>
          <w:bCs/>
        </w:rPr>
        <w:t>筛查结果落地</w:t>
      </w:r>
      <w:r>
        <w:t xml:space="preserve"> </w:t>
      </w:r>
      <w:r>
        <w:rPr>
          <w:rFonts w:hint="eastAsia"/>
          <w:i/>
          <w:iCs/>
        </w:rPr>
        <w:t>（筛查结果在【4</w:t>
      </w:r>
      <w:r>
        <w:rPr>
          <w:i/>
          <w:iCs/>
        </w:rPr>
        <w:t xml:space="preserve"> </w:t>
      </w:r>
      <w:r>
        <w:rPr>
          <w:rFonts w:hint="eastAsia"/>
          <w:i/>
          <w:iCs/>
        </w:rPr>
        <w:t>防范利益冲突筛查】中可以查看）</w:t>
      </w:r>
      <w:r>
        <w:rPr>
          <w:rFonts w:hint="eastAsia"/>
        </w:rPr>
        <w:t>，然后进入审核环节，变成一条待审核的记录.</w:t>
      </w:r>
    </w:p>
    <w:p w14:paraId="1DC400F3">
      <w:pPr>
        <w:pStyle w:val="27"/>
        <w:numPr>
          <w:ilvl w:val="0"/>
          <w:numId w:val="2"/>
        </w:numPr>
      </w:pPr>
      <w:r>
        <w:rPr>
          <w:rFonts w:hint="eastAsia"/>
          <w:b/>
          <w:bCs/>
        </w:rPr>
        <w:t>修改</w:t>
      </w:r>
    </w:p>
    <w:p w14:paraId="09CB1CF6">
      <w:pPr>
        <w:pStyle w:val="26"/>
      </w:pPr>
      <w:r>
        <w:drawing>
          <wp:inline distT="0" distB="0" distL="114300" distR="114300">
            <wp:extent cx="5334000" cy="1460500"/>
            <wp:effectExtent l="0" t="0" r="0" b="0"/>
            <wp:docPr id="89"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descr="image.png"/>
                    <pic:cNvPicPr>
                      <a:picLocks noChangeAspect="1" noChangeArrowheads="1"/>
                    </pic:cNvPicPr>
                  </pic:nvPicPr>
                  <pic:blipFill>
                    <a:blip r:embed="rId23"/>
                    <a:stretch>
                      <a:fillRect/>
                    </a:stretch>
                  </pic:blipFill>
                  <pic:spPr>
                    <a:xfrm>
                      <a:off x="0" y="0"/>
                      <a:ext cx="5334000" cy="1460679"/>
                    </a:xfrm>
                    <a:prstGeom prst="rect">
                      <a:avLst/>
                    </a:prstGeom>
                    <a:noFill/>
                    <a:ln w="9525">
                      <a:noFill/>
                    </a:ln>
                  </pic:spPr>
                </pic:pic>
              </a:graphicData>
            </a:graphic>
          </wp:inline>
        </w:drawing>
      </w:r>
    </w:p>
    <w:p w14:paraId="43561B3B">
      <w:pPr>
        <w:pStyle w:val="3"/>
      </w:pPr>
      <w:r>
        <w:rPr>
          <w:rFonts w:hint="eastAsia"/>
        </w:rPr>
        <w:t>选中一条记录后，点修改按钮，进入居间人信息修改界面；</w:t>
      </w:r>
    </w:p>
    <w:p w14:paraId="4C55B889">
      <w:pPr>
        <w:pStyle w:val="3"/>
      </w:pPr>
      <w:r>
        <w:rPr>
          <w:rFonts w:hint="eastAsia"/>
        </w:rPr>
        <w:t>除了和新增界面看到一样的居间人详情页之外，修改页面在最底下额外增加了两部分内容：</w:t>
      </w:r>
    </w:p>
    <w:p w14:paraId="3D684A0D">
      <w:pPr>
        <w:pStyle w:val="3"/>
      </w:pPr>
      <w:r>
        <w:drawing>
          <wp:inline distT="0" distB="0" distL="114300" distR="114300">
            <wp:extent cx="2476500" cy="1419225"/>
            <wp:effectExtent l="0" t="0" r="0" b="0"/>
            <wp:docPr id="92"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descr="image.png"/>
                    <pic:cNvPicPr>
                      <a:picLocks noChangeAspect="1" noChangeArrowheads="1"/>
                    </pic:cNvPicPr>
                  </pic:nvPicPr>
                  <pic:blipFill>
                    <a:blip r:embed="rId24"/>
                    <a:stretch>
                      <a:fillRect/>
                    </a:stretch>
                  </pic:blipFill>
                  <pic:spPr>
                    <a:xfrm>
                      <a:off x="0" y="0"/>
                      <a:ext cx="2476799" cy="1419396"/>
                    </a:xfrm>
                    <a:prstGeom prst="rect">
                      <a:avLst/>
                    </a:prstGeom>
                    <a:noFill/>
                    <a:ln w="9525">
                      <a:noFill/>
                    </a:ln>
                  </pic:spPr>
                </pic:pic>
              </a:graphicData>
            </a:graphic>
          </wp:inline>
        </w:drawing>
      </w:r>
    </w:p>
    <w:p w14:paraId="4B1F25EA">
      <w:pPr>
        <w:pStyle w:val="3"/>
      </w:pPr>
      <w:r>
        <w:rPr>
          <w:rFonts w:hint="eastAsia"/>
        </w:rPr>
        <w:t>一是</w:t>
      </w:r>
      <w:r>
        <w:rPr>
          <w:rFonts w:hint="eastAsia"/>
          <w:b/>
          <w:bCs/>
        </w:rPr>
        <w:t>利益冲突筛查的结果</w:t>
      </w:r>
      <w:r>
        <w:rPr>
          <w:rFonts w:hint="eastAsia"/>
        </w:rPr>
        <w:t>，可以看到是否通过筛查。</w:t>
      </w:r>
    </w:p>
    <w:p w14:paraId="79328457">
      <w:pPr>
        <w:pStyle w:val="3"/>
      </w:pPr>
      <w:r>
        <w:rPr>
          <w:rFonts w:hint="eastAsia"/>
          <w:b/>
          <w:bCs/>
        </w:rPr>
        <w:t>注：</w:t>
      </w:r>
      <w:r>
        <w:rPr>
          <w:rFonts w:hint="eastAsia"/>
        </w:rPr>
        <w:t>【修改】提交时，系统不会发起防范利益冲突筛查。</w:t>
      </w:r>
    </w:p>
    <w:p w14:paraId="0C953863">
      <w:pPr>
        <w:pStyle w:val="3"/>
      </w:pPr>
      <w:r>
        <w:drawing>
          <wp:inline distT="0" distB="0" distL="114300" distR="114300">
            <wp:extent cx="5334000" cy="2599690"/>
            <wp:effectExtent l="0" t="0" r="0" b="0"/>
            <wp:docPr id="95"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descr="image.png"/>
                    <pic:cNvPicPr>
                      <a:picLocks noChangeAspect="1" noChangeArrowheads="1"/>
                    </pic:cNvPicPr>
                  </pic:nvPicPr>
                  <pic:blipFill>
                    <a:blip r:embed="rId25"/>
                    <a:stretch>
                      <a:fillRect/>
                    </a:stretch>
                  </pic:blipFill>
                  <pic:spPr>
                    <a:xfrm>
                      <a:off x="0" y="0"/>
                      <a:ext cx="5334000" cy="2600046"/>
                    </a:xfrm>
                    <a:prstGeom prst="rect">
                      <a:avLst/>
                    </a:prstGeom>
                    <a:noFill/>
                    <a:ln w="9525">
                      <a:noFill/>
                    </a:ln>
                  </pic:spPr>
                </pic:pic>
              </a:graphicData>
            </a:graphic>
          </wp:inline>
        </w:drawing>
      </w:r>
    </w:p>
    <w:p w14:paraId="1A279F11">
      <w:pPr>
        <w:pStyle w:val="3"/>
      </w:pPr>
      <w:r>
        <w:rPr>
          <w:rFonts w:hint="eastAsia"/>
        </w:rPr>
        <w:t>二是过往对这个居间人信息的</w:t>
      </w:r>
      <w:r>
        <w:rPr>
          <w:rFonts w:hint="eastAsia"/>
          <w:b/>
          <w:bCs/>
        </w:rPr>
        <w:t>变更日志</w:t>
      </w:r>
      <w:r>
        <w:t>。</w:t>
      </w:r>
    </w:p>
    <w:p w14:paraId="6D03A798">
      <w:pPr>
        <w:pStyle w:val="27"/>
        <w:numPr>
          <w:ilvl w:val="0"/>
          <w:numId w:val="2"/>
        </w:numPr>
      </w:pPr>
      <w:r>
        <w:rPr>
          <w:rFonts w:hint="eastAsia"/>
          <w:b/>
          <w:bCs/>
        </w:rPr>
        <w:t>删除</w:t>
      </w:r>
    </w:p>
    <w:p w14:paraId="44202417">
      <w:pPr>
        <w:pStyle w:val="26"/>
      </w:pPr>
      <w:r>
        <w:rPr>
          <w:rFonts w:hint="eastAsia"/>
        </w:rPr>
        <w:t>支持多选删除；</w:t>
      </w:r>
    </w:p>
    <w:p w14:paraId="42891740">
      <w:pPr>
        <w:pStyle w:val="3"/>
      </w:pPr>
      <w:r>
        <w:rPr>
          <w:rFonts w:hint="eastAsia"/>
        </w:rPr>
        <w:t>当全选时，删除的是</w:t>
      </w:r>
      <w:r>
        <w:rPr>
          <w:rFonts w:hint="eastAsia"/>
          <w:b/>
          <w:bCs/>
        </w:rPr>
        <w:t>当前页的记录</w:t>
      </w:r>
      <w:r>
        <w:rPr>
          <w:rFonts w:hint="eastAsia"/>
        </w:rPr>
        <w:t>，而非所有查询结果。</w:t>
      </w:r>
    </w:p>
    <w:p w14:paraId="4E38CCD7">
      <w:pPr>
        <w:pStyle w:val="3"/>
      </w:pPr>
      <w:r>
        <w:drawing>
          <wp:inline distT="0" distB="0" distL="114300" distR="114300">
            <wp:extent cx="5334000" cy="3314700"/>
            <wp:effectExtent l="0" t="0" r="0" b="0"/>
            <wp:docPr id="98"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descr="image.png"/>
                    <pic:cNvPicPr>
                      <a:picLocks noChangeAspect="1" noChangeArrowheads="1"/>
                    </pic:cNvPicPr>
                  </pic:nvPicPr>
                  <pic:blipFill>
                    <a:blip r:embed="rId26"/>
                    <a:stretch>
                      <a:fillRect/>
                    </a:stretch>
                  </pic:blipFill>
                  <pic:spPr>
                    <a:xfrm>
                      <a:off x="0" y="0"/>
                      <a:ext cx="5334000" cy="3315215"/>
                    </a:xfrm>
                    <a:prstGeom prst="rect">
                      <a:avLst/>
                    </a:prstGeom>
                    <a:noFill/>
                    <a:ln w="9525">
                      <a:noFill/>
                    </a:ln>
                  </pic:spPr>
                </pic:pic>
              </a:graphicData>
            </a:graphic>
          </wp:inline>
        </w:drawing>
      </w:r>
    </w:p>
    <w:p w14:paraId="3E85B7C4">
      <w:pPr>
        <w:pStyle w:val="3"/>
      </w:pPr>
      <w:r>
        <w:rPr>
          <w:rFonts w:hint="eastAsia"/>
        </w:rPr>
        <w:t>删除后，需要在【居间信息审核】界面审核通过，才会真正删除；审核不通过，则该条记录恢复。</w:t>
      </w:r>
    </w:p>
    <w:p w14:paraId="7F0B02C3">
      <w:pPr>
        <w:pStyle w:val="27"/>
        <w:numPr>
          <w:ilvl w:val="0"/>
          <w:numId w:val="2"/>
        </w:numPr>
      </w:pPr>
      <w:r>
        <w:rPr>
          <w:rFonts w:hint="eastAsia"/>
          <w:b/>
          <w:bCs/>
        </w:rPr>
        <w:t>批量修改</w:t>
      </w:r>
    </w:p>
    <w:p w14:paraId="06153BFC">
      <w:pPr>
        <w:pStyle w:val="26"/>
      </w:pPr>
      <w:r>
        <w:rPr>
          <w:rFonts w:hint="eastAsia"/>
        </w:rPr>
        <w:t>此功能主要用于：多条居间人信息的同一列希望批量更新成同一个结果。</w:t>
      </w:r>
    </w:p>
    <w:p w14:paraId="0553F518">
      <w:pPr>
        <w:pStyle w:val="3"/>
      </w:pPr>
      <w:r>
        <w:rPr>
          <w:rFonts w:hint="eastAsia"/>
        </w:rPr>
        <w:t>例如：同时对一批居间人进行注销操作，或者更新合同结束日期。</w:t>
      </w:r>
    </w:p>
    <w:p w14:paraId="424B6363">
      <w:pPr>
        <w:pStyle w:val="3"/>
      </w:pPr>
      <w:r>
        <w:rPr>
          <w:rFonts w:hint="eastAsia"/>
        </w:rPr>
        <w:t>下面以更新合同结束日期举例：</w:t>
      </w:r>
    </w:p>
    <w:p w14:paraId="28ECF389">
      <w:pPr>
        <w:pStyle w:val="3"/>
      </w:pPr>
      <w:r>
        <w:rPr>
          <w:rFonts w:hint="eastAsia"/>
        </w:rPr>
        <w:t>在列表界面选中这两条，点击批量修改</w:t>
      </w:r>
    </w:p>
    <w:p w14:paraId="66C1F394">
      <w:pPr>
        <w:pStyle w:val="3"/>
      </w:pPr>
      <w:r>
        <w:drawing>
          <wp:inline distT="0" distB="0" distL="114300" distR="114300">
            <wp:extent cx="3246755" cy="1761490"/>
            <wp:effectExtent l="0" t="0" r="0" b="0"/>
            <wp:docPr id="101"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descr="image.png"/>
                    <pic:cNvPicPr>
                      <a:picLocks noChangeAspect="1" noChangeArrowheads="1"/>
                    </pic:cNvPicPr>
                  </pic:nvPicPr>
                  <pic:blipFill>
                    <a:blip r:embed="rId27"/>
                    <a:stretch>
                      <a:fillRect/>
                    </a:stretch>
                  </pic:blipFill>
                  <pic:spPr>
                    <a:xfrm>
                      <a:off x="0" y="0"/>
                      <a:ext cx="3247199" cy="1761677"/>
                    </a:xfrm>
                    <a:prstGeom prst="rect">
                      <a:avLst/>
                    </a:prstGeom>
                    <a:noFill/>
                    <a:ln w="9525">
                      <a:noFill/>
                    </a:ln>
                  </pic:spPr>
                </pic:pic>
              </a:graphicData>
            </a:graphic>
          </wp:inline>
        </w:drawing>
      </w:r>
    </w:p>
    <w:p w14:paraId="1389738E">
      <w:pPr>
        <w:pStyle w:val="3"/>
      </w:pPr>
      <w:r>
        <w:rPr>
          <w:rFonts w:hint="eastAsia"/>
        </w:rPr>
        <w:t>填入合同结束日期，同时记得将左边的复选框打上勾，表示为本次要更新的项目，然后保存。</w:t>
      </w:r>
    </w:p>
    <w:p w14:paraId="40A0FAA3">
      <w:pPr>
        <w:pStyle w:val="3"/>
      </w:pPr>
      <w:r>
        <w:drawing>
          <wp:inline distT="0" distB="0" distL="114300" distR="114300">
            <wp:extent cx="4316095" cy="1171575"/>
            <wp:effectExtent l="0" t="0" r="0" b="0"/>
            <wp:docPr id="104"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descr="image.png"/>
                    <pic:cNvPicPr>
                      <a:picLocks noChangeAspect="1" noChangeArrowheads="1"/>
                    </pic:cNvPicPr>
                  </pic:nvPicPr>
                  <pic:blipFill>
                    <a:blip r:embed="rId28"/>
                    <a:stretch>
                      <a:fillRect/>
                    </a:stretch>
                  </pic:blipFill>
                  <pic:spPr>
                    <a:xfrm>
                      <a:off x="0" y="0"/>
                      <a:ext cx="4316399" cy="1172002"/>
                    </a:xfrm>
                    <a:prstGeom prst="rect">
                      <a:avLst/>
                    </a:prstGeom>
                    <a:noFill/>
                    <a:ln w="9525">
                      <a:noFill/>
                    </a:ln>
                  </pic:spPr>
                </pic:pic>
              </a:graphicData>
            </a:graphic>
          </wp:inline>
        </w:drawing>
      </w:r>
    </w:p>
    <w:p w14:paraId="3E4AB085">
      <w:pPr>
        <w:pStyle w:val="3"/>
      </w:pPr>
      <w:r>
        <w:rPr>
          <w:rFonts w:hint="eastAsia"/>
        </w:rPr>
        <w:t>在审核界面可以看到，这两个居间人的合同结束日期已经被批量置为新的日期。</w:t>
      </w:r>
    </w:p>
    <w:p w14:paraId="3888A4F0">
      <w:pPr>
        <w:pStyle w:val="3"/>
      </w:pPr>
      <w:r>
        <w:drawing>
          <wp:inline distT="0" distB="0" distL="114300" distR="114300">
            <wp:extent cx="5334000" cy="1464945"/>
            <wp:effectExtent l="0" t="0" r="0" b="0"/>
            <wp:docPr id="107"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descr="image.png"/>
                    <pic:cNvPicPr>
                      <a:picLocks noChangeAspect="1" noChangeArrowheads="1"/>
                    </pic:cNvPicPr>
                  </pic:nvPicPr>
                  <pic:blipFill>
                    <a:blip r:embed="rId29"/>
                    <a:stretch>
                      <a:fillRect/>
                    </a:stretch>
                  </pic:blipFill>
                  <pic:spPr>
                    <a:xfrm>
                      <a:off x="0" y="0"/>
                      <a:ext cx="5334000" cy="1465471"/>
                    </a:xfrm>
                    <a:prstGeom prst="rect">
                      <a:avLst/>
                    </a:prstGeom>
                    <a:noFill/>
                    <a:ln w="9525">
                      <a:noFill/>
                    </a:ln>
                  </pic:spPr>
                </pic:pic>
              </a:graphicData>
            </a:graphic>
          </wp:inline>
        </w:drawing>
      </w:r>
    </w:p>
    <w:bookmarkEnd w:id="31"/>
    <w:p w14:paraId="39A4E579">
      <w:pPr>
        <w:pStyle w:val="6"/>
      </w:pPr>
      <w:bookmarkStart w:id="32" w:name="居间人信息审核"/>
      <w:r>
        <w:t xml:space="preserve">1.3 </w:t>
      </w:r>
      <w:r>
        <w:rPr>
          <w:rFonts w:hint="eastAsia"/>
        </w:rPr>
        <w:t>居间人信息审核</w:t>
      </w:r>
    </w:p>
    <w:p w14:paraId="26AC4B99">
      <w:pPr>
        <w:pStyle w:val="26"/>
      </w:pPr>
      <w:r>
        <w:rPr>
          <w:rFonts w:hint="eastAsia"/>
        </w:rPr>
        <w:t>增删改都在此页面审核，审核通过之后才算正式生效；</w:t>
      </w:r>
    </w:p>
    <w:p w14:paraId="1DD57632">
      <w:pPr>
        <w:pStyle w:val="3"/>
      </w:pPr>
      <w:r>
        <w:drawing>
          <wp:inline distT="0" distB="0" distL="114300" distR="114300">
            <wp:extent cx="5334000" cy="2474595"/>
            <wp:effectExtent l="0" t="0" r="0" b="0"/>
            <wp:docPr id="111"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descr="image.png"/>
                    <pic:cNvPicPr>
                      <a:picLocks noChangeAspect="1" noChangeArrowheads="1"/>
                    </pic:cNvPicPr>
                  </pic:nvPicPr>
                  <pic:blipFill>
                    <a:blip r:embed="rId30"/>
                    <a:stretch>
                      <a:fillRect/>
                    </a:stretch>
                  </pic:blipFill>
                  <pic:spPr>
                    <a:xfrm>
                      <a:off x="0" y="0"/>
                      <a:ext cx="5334000" cy="2475225"/>
                    </a:xfrm>
                    <a:prstGeom prst="rect">
                      <a:avLst/>
                    </a:prstGeom>
                    <a:noFill/>
                    <a:ln w="9525">
                      <a:noFill/>
                    </a:ln>
                  </pic:spPr>
                </pic:pic>
              </a:graphicData>
            </a:graphic>
          </wp:inline>
        </w:drawing>
      </w:r>
    </w:p>
    <w:p w14:paraId="2E6AE310">
      <w:pPr>
        <w:pStyle w:val="3"/>
      </w:pPr>
      <w:r>
        <w:rPr>
          <w:rFonts w:hint="eastAsia"/>
        </w:rPr>
        <w:t>支持单条审核</w:t>
      </w:r>
      <w:r>
        <w:t xml:space="preserve"> </w:t>
      </w:r>
      <w:r>
        <w:rPr>
          <w:rFonts w:hint="eastAsia"/>
        </w:rPr>
        <w:t>与</w:t>
      </w:r>
      <w:r>
        <w:t xml:space="preserve"> </w:t>
      </w:r>
      <w:r>
        <w:rPr>
          <w:rFonts w:hint="eastAsia"/>
        </w:rPr>
        <w:t>批量审核；</w:t>
      </w:r>
    </w:p>
    <w:p w14:paraId="599F7D52">
      <w:pPr>
        <w:pStyle w:val="27"/>
        <w:numPr>
          <w:ilvl w:val="0"/>
          <w:numId w:val="2"/>
        </w:numPr>
      </w:pPr>
      <w:r>
        <w:rPr>
          <w:rFonts w:hint="eastAsia"/>
          <w:b/>
          <w:bCs/>
        </w:rPr>
        <w:t>单条审核：</w:t>
      </w:r>
    </w:p>
    <w:p w14:paraId="26BF7B22">
      <w:pPr>
        <w:pStyle w:val="26"/>
      </w:pPr>
      <w:r>
        <w:rPr>
          <w:rFonts w:hint="eastAsia"/>
        </w:rPr>
        <w:t>除了和新增，修改界面看到一样的居间人详情页之外，修改的字段会自动高亮展示，审核按钮放在</w:t>
      </w:r>
      <w:r>
        <w:rPr>
          <w:rFonts w:hint="eastAsia"/>
          <w:b/>
          <w:bCs/>
        </w:rPr>
        <w:t>右上角</w:t>
      </w:r>
      <w:r>
        <w:rPr>
          <w:rFonts w:hint="eastAsia"/>
        </w:rPr>
        <w:t>：</w:t>
      </w:r>
    </w:p>
    <w:p w14:paraId="0C540153">
      <w:pPr>
        <w:pStyle w:val="3"/>
      </w:pPr>
      <w:r>
        <w:drawing>
          <wp:inline distT="0" distB="0" distL="114300" distR="114300">
            <wp:extent cx="2494280" cy="723265"/>
            <wp:effectExtent l="0" t="0" r="0" b="0"/>
            <wp:docPr id="114"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descr="image.png"/>
                    <pic:cNvPicPr>
                      <a:picLocks noChangeAspect="1" noChangeArrowheads="1"/>
                    </pic:cNvPicPr>
                  </pic:nvPicPr>
                  <pic:blipFill>
                    <a:blip r:embed="rId31"/>
                    <a:stretch>
                      <a:fillRect/>
                    </a:stretch>
                  </pic:blipFill>
                  <pic:spPr>
                    <a:xfrm>
                      <a:off x="0" y="0"/>
                      <a:ext cx="2494799" cy="723682"/>
                    </a:xfrm>
                    <a:prstGeom prst="rect">
                      <a:avLst/>
                    </a:prstGeom>
                    <a:noFill/>
                    <a:ln w="9525">
                      <a:noFill/>
                    </a:ln>
                  </pic:spPr>
                </pic:pic>
              </a:graphicData>
            </a:graphic>
          </wp:inline>
        </w:drawing>
      </w:r>
    </w:p>
    <w:p w14:paraId="148FA9A9">
      <w:pPr>
        <w:pStyle w:val="3"/>
      </w:pPr>
      <w:r>
        <w:drawing>
          <wp:inline distT="0" distB="0" distL="114300" distR="114300">
            <wp:extent cx="5334000" cy="2715895"/>
            <wp:effectExtent l="0" t="0" r="0" b="0"/>
            <wp:docPr id="117"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descr="image.png"/>
                    <pic:cNvPicPr>
                      <a:picLocks noChangeAspect="1" noChangeArrowheads="1"/>
                    </pic:cNvPicPr>
                  </pic:nvPicPr>
                  <pic:blipFill>
                    <a:blip r:embed="rId32"/>
                    <a:stretch>
                      <a:fillRect/>
                    </a:stretch>
                  </pic:blipFill>
                  <pic:spPr>
                    <a:xfrm>
                      <a:off x="0" y="0"/>
                      <a:ext cx="5334000" cy="2716305"/>
                    </a:xfrm>
                    <a:prstGeom prst="rect">
                      <a:avLst/>
                    </a:prstGeom>
                    <a:noFill/>
                    <a:ln w="9525">
                      <a:noFill/>
                    </a:ln>
                  </pic:spPr>
                </pic:pic>
              </a:graphicData>
            </a:graphic>
          </wp:inline>
        </w:drawing>
      </w:r>
    </w:p>
    <w:p w14:paraId="0B86546A">
      <w:pPr>
        <w:pStyle w:val="27"/>
        <w:numPr>
          <w:ilvl w:val="0"/>
          <w:numId w:val="2"/>
        </w:numPr>
      </w:pPr>
      <w:r>
        <w:rPr>
          <w:rFonts w:hint="eastAsia"/>
          <w:b/>
          <w:bCs/>
        </w:rPr>
        <w:t>批量审核：</w:t>
      </w:r>
    </w:p>
    <w:p w14:paraId="15BE586F">
      <w:pPr>
        <w:pStyle w:val="26"/>
      </w:pPr>
      <w:r>
        <w:rPr>
          <w:rFonts w:hint="eastAsia"/>
        </w:rPr>
        <w:t>分为批量审核通过/不通过，操作方式就是左上角全选</w:t>
      </w:r>
      <w:r>
        <w:t xml:space="preserve"> </w:t>
      </w:r>
      <w:r>
        <w:rPr>
          <w:rFonts w:hint="eastAsia"/>
          <w:i/>
          <w:iCs/>
        </w:rPr>
        <w:t>（当前页面记录）</w:t>
      </w:r>
      <w:r>
        <w:rPr>
          <w:rFonts w:hint="eastAsia"/>
        </w:rPr>
        <w:t>，然后点击批量审核按钮，在弹窗确认即可</w:t>
      </w:r>
      <w:r>
        <w:t xml:space="preserve"> </w:t>
      </w:r>
      <w:r>
        <w:rPr>
          <w:rFonts w:hint="eastAsia"/>
          <w:i/>
          <w:iCs/>
        </w:rPr>
        <w:t>（审批意见可选）</w:t>
      </w:r>
      <w:r>
        <w:t>。</w:t>
      </w:r>
    </w:p>
    <w:p w14:paraId="75DB7ABC">
      <w:pPr>
        <w:pStyle w:val="3"/>
      </w:pPr>
      <w:r>
        <w:drawing>
          <wp:inline distT="0" distB="0" distL="114300" distR="114300">
            <wp:extent cx="5334000" cy="3462655"/>
            <wp:effectExtent l="0" t="0" r="0" b="0"/>
            <wp:docPr id="120"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descr="image.png"/>
                    <pic:cNvPicPr>
                      <a:picLocks noChangeAspect="1" noChangeArrowheads="1"/>
                    </pic:cNvPicPr>
                  </pic:nvPicPr>
                  <pic:blipFill>
                    <a:blip r:embed="rId33"/>
                    <a:stretch>
                      <a:fillRect/>
                    </a:stretch>
                  </pic:blipFill>
                  <pic:spPr>
                    <a:xfrm>
                      <a:off x="0" y="0"/>
                      <a:ext cx="5334000" cy="3462982"/>
                    </a:xfrm>
                    <a:prstGeom prst="rect">
                      <a:avLst/>
                    </a:prstGeom>
                    <a:noFill/>
                    <a:ln w="9525">
                      <a:noFill/>
                    </a:ln>
                  </pic:spPr>
                </pic:pic>
              </a:graphicData>
            </a:graphic>
          </wp:inline>
        </w:drawing>
      </w:r>
    </w:p>
    <w:bookmarkEnd w:id="32"/>
    <w:p w14:paraId="0932A571">
      <w:pPr>
        <w:pStyle w:val="6"/>
      </w:pPr>
      <w:bookmarkStart w:id="33" w:name="居间人信息批量导入"/>
      <w:r>
        <w:t xml:space="preserve">1.5 </w:t>
      </w:r>
      <w:r>
        <w:rPr>
          <w:rFonts w:hint="eastAsia"/>
        </w:rPr>
        <w:t>居间人信息批量导入</w:t>
      </w:r>
    </w:p>
    <w:p w14:paraId="244108BF">
      <w:pPr>
        <w:pStyle w:val="26"/>
      </w:pPr>
      <w:r>
        <w:rPr>
          <w:rFonts w:hint="eastAsia"/>
        </w:rPr>
        <w:t>此功能的主要使用场景有：</w:t>
      </w:r>
    </w:p>
    <w:p w14:paraId="79587088">
      <w:pPr>
        <w:pStyle w:val="27"/>
        <w:numPr>
          <w:ilvl w:val="0"/>
          <w:numId w:val="4"/>
        </w:numPr>
      </w:pPr>
      <w:r>
        <w:rPr>
          <w:rFonts w:hint="eastAsia"/>
        </w:rPr>
        <w:t>批量新增一批居间人信息；</w:t>
      </w:r>
    </w:p>
    <w:p w14:paraId="3BC7CFE9">
      <w:pPr>
        <w:pStyle w:val="27"/>
        <w:numPr>
          <w:ilvl w:val="0"/>
          <w:numId w:val="4"/>
        </w:numPr>
      </w:pPr>
      <w:r>
        <w:rPr>
          <w:rFonts w:hint="eastAsia"/>
        </w:rPr>
        <w:t>批量修改一批居间人的若干个字段的信息；</w:t>
      </w:r>
    </w:p>
    <w:p w14:paraId="076BFDEC">
      <w:pPr>
        <w:pStyle w:val="26"/>
      </w:pPr>
      <w:r>
        <w:rPr>
          <w:rFonts w:hint="eastAsia"/>
        </w:rPr>
        <w:t>操作的流程图如下：</w:t>
      </w:r>
    </w:p>
    <w:p w14:paraId="29F1C6D1">
      <w:pPr>
        <w:pStyle w:val="3"/>
      </w:pPr>
      <w:r>
        <w:drawing>
          <wp:inline distT="0" distB="0" distL="114300" distR="114300">
            <wp:extent cx="5334000" cy="2350135"/>
            <wp:effectExtent l="0" t="0" r="0" b="0"/>
            <wp:docPr id="124"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descr="image.png"/>
                    <pic:cNvPicPr>
                      <a:picLocks noChangeAspect="1" noChangeArrowheads="1"/>
                    </pic:cNvPicPr>
                  </pic:nvPicPr>
                  <pic:blipFill>
                    <a:blip r:embed="rId34"/>
                    <a:stretch>
                      <a:fillRect/>
                    </a:stretch>
                  </pic:blipFill>
                  <pic:spPr>
                    <a:xfrm>
                      <a:off x="0" y="0"/>
                      <a:ext cx="5334000" cy="2350689"/>
                    </a:xfrm>
                    <a:prstGeom prst="rect">
                      <a:avLst/>
                    </a:prstGeom>
                    <a:noFill/>
                    <a:ln w="9525">
                      <a:noFill/>
                    </a:ln>
                  </pic:spPr>
                </pic:pic>
              </a:graphicData>
            </a:graphic>
          </wp:inline>
        </w:drawing>
      </w:r>
    </w:p>
    <w:p w14:paraId="0FACB9D3">
      <w:pPr>
        <w:pStyle w:val="3"/>
      </w:pPr>
      <w:r>
        <w:rPr>
          <w:rFonts w:hint="eastAsia"/>
        </w:rPr>
        <w:t>下载模板之后，填写相应的信息：</w:t>
      </w:r>
    </w:p>
    <w:p w14:paraId="7F8A7BB5">
      <w:pPr>
        <w:pStyle w:val="3"/>
      </w:pPr>
      <w:r>
        <w:drawing>
          <wp:inline distT="0" distB="0" distL="114300" distR="114300">
            <wp:extent cx="5334000" cy="3462020"/>
            <wp:effectExtent l="0" t="0" r="0" b="0"/>
            <wp:docPr id="127"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descr="image.png"/>
                    <pic:cNvPicPr>
                      <a:picLocks noChangeAspect="1" noChangeArrowheads="1"/>
                    </pic:cNvPicPr>
                  </pic:nvPicPr>
                  <pic:blipFill>
                    <a:blip r:embed="rId35"/>
                    <a:stretch>
                      <a:fillRect/>
                    </a:stretch>
                  </pic:blipFill>
                  <pic:spPr>
                    <a:xfrm>
                      <a:off x="0" y="0"/>
                      <a:ext cx="5334000" cy="3462025"/>
                    </a:xfrm>
                    <a:prstGeom prst="rect">
                      <a:avLst/>
                    </a:prstGeom>
                    <a:noFill/>
                    <a:ln w="9525">
                      <a:noFill/>
                    </a:ln>
                  </pic:spPr>
                </pic:pic>
              </a:graphicData>
            </a:graphic>
          </wp:inline>
        </w:drawing>
      </w:r>
    </w:p>
    <w:p w14:paraId="1FF2C46E">
      <w:pPr>
        <w:pStyle w:val="3"/>
      </w:pPr>
      <w:r>
        <w:rPr>
          <w:rFonts w:hint="eastAsia"/>
        </w:rPr>
        <w:t>如果碰到不知道如何填写的字段，可以参考码表sheet：</w:t>
      </w:r>
    </w:p>
    <w:p w14:paraId="5C917599">
      <w:pPr>
        <w:pStyle w:val="3"/>
      </w:pPr>
      <w:r>
        <w:drawing>
          <wp:inline distT="0" distB="0" distL="114300" distR="114300">
            <wp:extent cx="5334000" cy="603885"/>
            <wp:effectExtent l="0" t="0" r="0" b="0"/>
            <wp:docPr id="130"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descr="image.png"/>
                    <pic:cNvPicPr>
                      <a:picLocks noChangeAspect="1" noChangeArrowheads="1"/>
                    </pic:cNvPicPr>
                  </pic:nvPicPr>
                  <pic:blipFill>
                    <a:blip r:embed="rId36"/>
                    <a:stretch>
                      <a:fillRect/>
                    </a:stretch>
                  </pic:blipFill>
                  <pic:spPr>
                    <a:xfrm>
                      <a:off x="0" y="0"/>
                      <a:ext cx="5334000" cy="604475"/>
                    </a:xfrm>
                    <a:prstGeom prst="rect">
                      <a:avLst/>
                    </a:prstGeom>
                    <a:noFill/>
                    <a:ln w="9525">
                      <a:noFill/>
                    </a:ln>
                  </pic:spPr>
                </pic:pic>
              </a:graphicData>
            </a:graphic>
          </wp:inline>
        </w:drawing>
      </w:r>
      <w:r>
        <w:drawing>
          <wp:inline distT="0" distB="0" distL="114300" distR="114300">
            <wp:extent cx="5334000" cy="3002280"/>
            <wp:effectExtent l="0" t="0" r="0" b="0"/>
            <wp:docPr id="133"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descr="image.png"/>
                    <pic:cNvPicPr>
                      <a:picLocks noChangeAspect="1" noChangeArrowheads="1"/>
                    </pic:cNvPicPr>
                  </pic:nvPicPr>
                  <pic:blipFill>
                    <a:blip r:embed="rId37"/>
                    <a:stretch>
                      <a:fillRect/>
                    </a:stretch>
                  </pic:blipFill>
                  <pic:spPr>
                    <a:xfrm>
                      <a:off x="0" y="0"/>
                      <a:ext cx="5334000" cy="3002655"/>
                    </a:xfrm>
                    <a:prstGeom prst="rect">
                      <a:avLst/>
                    </a:prstGeom>
                    <a:noFill/>
                    <a:ln w="9525">
                      <a:noFill/>
                    </a:ln>
                  </pic:spPr>
                </pic:pic>
              </a:graphicData>
            </a:graphic>
          </wp:inline>
        </w:drawing>
      </w:r>
    </w:p>
    <w:p w14:paraId="1717FC74">
      <w:pPr>
        <w:pStyle w:val="3"/>
      </w:pPr>
      <w:r>
        <w:rPr>
          <w:rFonts w:hint="eastAsia"/>
        </w:rPr>
        <w:t>成功导入后，全选或者勾选部分记录，正式新增，则相当于批量录入了一批居间人信息；</w:t>
      </w:r>
    </w:p>
    <w:p w14:paraId="26286959">
      <w:pPr>
        <w:pStyle w:val="3"/>
      </w:pPr>
      <w:r>
        <w:drawing>
          <wp:inline distT="0" distB="0" distL="114300" distR="114300">
            <wp:extent cx="4838065" cy="5323840"/>
            <wp:effectExtent l="0" t="0" r="0" b="0"/>
            <wp:docPr id="136"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descr="image.png"/>
                    <pic:cNvPicPr>
                      <a:picLocks noChangeAspect="1" noChangeArrowheads="1"/>
                    </pic:cNvPicPr>
                  </pic:nvPicPr>
                  <pic:blipFill>
                    <a:blip r:embed="rId38"/>
                    <a:stretch>
                      <a:fillRect/>
                    </a:stretch>
                  </pic:blipFill>
                  <pic:spPr>
                    <a:xfrm>
                      <a:off x="0" y="0"/>
                      <a:ext cx="4838399" cy="5324144"/>
                    </a:xfrm>
                    <a:prstGeom prst="rect">
                      <a:avLst/>
                    </a:prstGeom>
                    <a:noFill/>
                    <a:ln w="9525">
                      <a:noFill/>
                    </a:ln>
                  </pic:spPr>
                </pic:pic>
              </a:graphicData>
            </a:graphic>
          </wp:inline>
        </w:drawing>
      </w:r>
    </w:p>
    <w:p w14:paraId="6569C3C2">
      <w:pPr>
        <w:pStyle w:val="3"/>
      </w:pPr>
      <w:r>
        <w:rPr>
          <w:rFonts w:hint="eastAsia"/>
        </w:rPr>
        <w:t>选择正式更新，则会弹窗提示需要更新的字段，只有勾选的字段会将居间人的信息更新；</w:t>
      </w:r>
    </w:p>
    <w:p w14:paraId="24F613BA">
      <w:pPr>
        <w:pStyle w:val="3"/>
      </w:pPr>
      <w:r>
        <w:rPr>
          <w:rFonts w:hint="eastAsia"/>
        </w:rPr>
        <w:t>但都需要审核之后才算正式生效。</w:t>
      </w:r>
    </w:p>
    <w:p w14:paraId="2A9EF340">
      <w:pPr>
        <w:pStyle w:val="3"/>
      </w:pPr>
      <w:r>
        <w:rPr>
          <w:rFonts w:hint="eastAsia"/>
        </w:rPr>
        <w:t>若填写的内容有误，导入时会有相应的提示：</w:t>
      </w:r>
    </w:p>
    <w:p w14:paraId="5CCA5044">
      <w:pPr>
        <w:pStyle w:val="3"/>
      </w:pPr>
      <w:r>
        <w:drawing>
          <wp:inline distT="0" distB="0" distL="114300" distR="114300">
            <wp:extent cx="4208145" cy="1313815"/>
            <wp:effectExtent l="0" t="0" r="0" b="0"/>
            <wp:docPr id="139"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descr="image.png"/>
                    <pic:cNvPicPr>
                      <a:picLocks noChangeAspect="1" noChangeArrowheads="1"/>
                    </pic:cNvPicPr>
                  </pic:nvPicPr>
                  <pic:blipFill>
                    <a:blip r:embed="rId39"/>
                    <a:stretch>
                      <a:fillRect/>
                    </a:stretch>
                  </pic:blipFill>
                  <pic:spPr>
                    <a:xfrm>
                      <a:off x="0" y="0"/>
                      <a:ext cx="4208399" cy="1313934"/>
                    </a:xfrm>
                    <a:prstGeom prst="rect">
                      <a:avLst/>
                    </a:prstGeom>
                    <a:noFill/>
                    <a:ln w="9525">
                      <a:noFill/>
                    </a:ln>
                  </pic:spPr>
                </pic:pic>
              </a:graphicData>
            </a:graphic>
          </wp:inline>
        </w:drawing>
      </w:r>
    </w:p>
    <w:p w14:paraId="31039A26">
      <w:pPr>
        <w:pStyle w:val="13"/>
      </w:pPr>
      <w:r>
        <w:rPr>
          <w:rFonts w:hint="eastAsia"/>
          <w:b/>
          <w:bCs/>
        </w:rPr>
        <w:t>注意</w:t>
      </w:r>
    </w:p>
    <w:p w14:paraId="44325DEA">
      <w:pPr>
        <w:pStyle w:val="13"/>
      </w:pPr>
      <w:r>
        <w:rPr>
          <w:rFonts w:hint="eastAsia"/>
          <w:b/>
          <w:bCs/>
        </w:rPr>
        <w:t>直接从查询列表内导出的数据，可能无法批量导入</w:t>
      </w:r>
      <w:r>
        <w:rPr>
          <w:rFonts w:hint="eastAsia"/>
        </w:rPr>
        <w:t>，因为，查询列表内的字段可能并不全（因为用户可以在页面设置中设置哪些字段在列表内显示/不显示）。</w:t>
      </w:r>
      <w:r>
        <w:rPr>
          <w:rFonts w:hint="eastAsia"/>
          <w:b/>
          <w:bCs/>
        </w:rPr>
        <w:t>建议下载模板后</w:t>
      </w:r>
      <w:r>
        <w:rPr>
          <w:b/>
          <w:bCs/>
        </w:rPr>
        <w:t xml:space="preserve"> </w:t>
      </w:r>
      <w:r>
        <w:rPr>
          <w:rFonts w:hint="eastAsia"/>
          <w:b/>
          <w:bCs/>
        </w:rPr>
        <w:t>，根据模板进行数据填写再批量导入</w:t>
      </w:r>
      <w:r>
        <w:t>。</w:t>
      </w:r>
    </w:p>
    <w:p w14:paraId="303900EB">
      <w:pPr>
        <w:pStyle w:val="26"/>
      </w:pPr>
      <w:r>
        <w:fldChar w:fldCharType="begin"/>
      </w:r>
      <w:r>
        <w:instrText xml:space="preserve"> HYPERLINK "/videos/批量新增居间人信息.mp4" \h </w:instrText>
      </w:r>
      <w:r>
        <w:fldChar w:fldCharType="separate"/>
      </w:r>
      <w:r>
        <w:rPr>
          <w:rStyle w:val="23"/>
          <w:rFonts w:hint="eastAsia"/>
        </w:rPr>
        <w:t>批量新增居间人信息.mp4</w:t>
      </w:r>
      <w:r>
        <w:rPr>
          <w:rStyle w:val="23"/>
          <w:rFonts w:hint="eastAsia"/>
        </w:rPr>
        <w:fldChar w:fldCharType="end"/>
      </w:r>
    </w:p>
    <w:p w14:paraId="456CAEE9">
      <w:pPr>
        <w:pStyle w:val="3"/>
      </w:pPr>
      <w:r>
        <w:fldChar w:fldCharType="begin"/>
      </w:r>
      <w:r>
        <w:instrText xml:space="preserve"> HYPERLINK "/videos/批量更新居间人信息.mp4" \h </w:instrText>
      </w:r>
      <w:r>
        <w:fldChar w:fldCharType="separate"/>
      </w:r>
      <w:r>
        <w:rPr>
          <w:rStyle w:val="23"/>
          <w:rFonts w:hint="eastAsia"/>
        </w:rPr>
        <w:t>批量更新居间人信息.mp4</w:t>
      </w:r>
      <w:r>
        <w:rPr>
          <w:rStyle w:val="23"/>
          <w:rFonts w:hint="eastAsia"/>
        </w:rPr>
        <w:fldChar w:fldCharType="end"/>
      </w:r>
    </w:p>
    <w:p w14:paraId="6E5755EE">
      <w:r>
        <w:pict>
          <v:rect id="_x0000_i1027" o:spt="1" style="height:1.5pt;width:0pt;" coordsize="21600,21600" o:hr="t" o:hrstd="t" o:hralign="center">
            <v:path/>
            <v:fill focussize="0,0"/>
            <v:stroke/>
            <v:imagedata o:title=""/>
            <o:lock v:ext="edit"/>
            <w10:wrap type="none"/>
            <w10:anchorlock/>
          </v:rect>
        </w:pict>
      </w:r>
    </w:p>
    <w:bookmarkEnd w:id="29"/>
    <w:bookmarkEnd w:id="33"/>
    <w:p w14:paraId="6037A402">
      <w:pPr>
        <w:pStyle w:val="5"/>
      </w:pPr>
      <w:bookmarkStart w:id="34" w:name="_Toc13267"/>
      <w:bookmarkStart w:id="35" w:name="居间人业绩关系管理"/>
      <w:r>
        <w:t xml:space="preserve">2. </w:t>
      </w:r>
      <w:r>
        <w:rPr>
          <w:rFonts w:hint="eastAsia"/>
        </w:rPr>
        <w:t>居间人业绩关系管理</w:t>
      </w:r>
      <w:bookmarkEnd w:id="34"/>
    </w:p>
    <w:p w14:paraId="08A1FFB8">
      <w:pPr>
        <w:pStyle w:val="26"/>
      </w:pPr>
      <w:r>
        <w:rPr>
          <w:rFonts w:hint="eastAsia"/>
        </w:rPr>
        <w:t>此模块用以管理居间人与投资者业绩关系信息，包括关系有效期、提成&amp;业绩占比、提成比例等信息。</w:t>
      </w:r>
    </w:p>
    <w:p w14:paraId="7F67CB2D">
      <w:pPr>
        <w:pStyle w:val="3"/>
      </w:pPr>
      <w:r>
        <w:rPr>
          <w:rFonts w:hint="eastAsia"/>
        </w:rPr>
        <w:t>居间与客户的业绩关系，是为居间人计算各种提成（留存手续费提成、交返提成、利息提成）的核心基础；虽然此模块设置的留存提成比例仅用于手续费提成的计算，但是这里关系设置的存在与否会直接影响是否给居间人计提其名下客户的交返提成和利息提成</w:t>
      </w:r>
      <w:r>
        <w:t xml:space="preserve"> </w:t>
      </w:r>
      <w:r>
        <w:rPr>
          <w:rFonts w:hint="eastAsia"/>
        </w:rPr>
        <w:t>及</w:t>
      </w:r>
      <w:r>
        <w:t xml:space="preserve"> </w:t>
      </w:r>
      <w:r>
        <w:rPr>
          <w:rFonts w:hint="eastAsia"/>
        </w:rPr>
        <w:t>围绕居间人主体的相关数据统计和报表展示；</w:t>
      </w:r>
    </w:p>
    <w:p w14:paraId="7E3EF674">
      <w:pPr>
        <w:pStyle w:val="3"/>
      </w:pPr>
      <w:r>
        <w:rPr>
          <w:rFonts w:hint="eastAsia"/>
        </w:rPr>
        <w:t>即，如果居间人针对名下客户仅计提交返提成和利息提成、不计提留存手续费提成，那么也必须在此模块维护居间与单个客户的业绩关系、可以将留存提成比例设置为0。</w:t>
      </w:r>
    </w:p>
    <w:p w14:paraId="0DC78699">
      <w:pPr>
        <w:pStyle w:val="6"/>
      </w:pPr>
      <w:bookmarkStart w:id="36" w:name="居间业绩关系查询"/>
      <w:r>
        <w:t xml:space="preserve">2.1 </w:t>
      </w:r>
      <w:r>
        <w:rPr>
          <w:rFonts w:hint="eastAsia"/>
        </w:rPr>
        <w:t>居间业绩关系查询</w:t>
      </w:r>
    </w:p>
    <w:p w14:paraId="3324AE4C">
      <w:pPr>
        <w:pStyle w:val="26"/>
      </w:pPr>
      <w:r>
        <w:rPr>
          <w:rFonts w:hint="eastAsia"/>
        </w:rPr>
        <w:t>与【1.1</w:t>
      </w:r>
      <w:r>
        <w:t xml:space="preserve"> </w:t>
      </w:r>
      <w:r>
        <w:rPr>
          <w:rFonts w:hint="eastAsia"/>
        </w:rPr>
        <w:t>居间人信息查询】的使用逻辑一样，不再赘述。</w:t>
      </w:r>
    </w:p>
    <w:bookmarkEnd w:id="36"/>
    <w:p w14:paraId="4D0CC80F">
      <w:pPr>
        <w:pStyle w:val="6"/>
      </w:pPr>
      <w:bookmarkStart w:id="37" w:name="居间业绩关系维护"/>
      <w:r>
        <w:t xml:space="preserve">2.2 </w:t>
      </w:r>
      <w:r>
        <w:rPr>
          <w:rFonts w:hint="eastAsia"/>
        </w:rPr>
        <w:t>居间业绩关系维护</w:t>
      </w:r>
    </w:p>
    <w:p w14:paraId="660D1C02">
      <w:pPr>
        <w:pStyle w:val="26"/>
      </w:pPr>
      <w:r>
        <w:rPr>
          <w:rFonts w:hint="eastAsia"/>
        </w:rPr>
        <w:t>界面的使用逻辑与【1.2</w:t>
      </w:r>
      <w:r>
        <w:t xml:space="preserve"> </w:t>
      </w:r>
      <w:r>
        <w:rPr>
          <w:rFonts w:hint="eastAsia"/>
        </w:rPr>
        <w:t>居间人信息维护】大部分一样，通用部分不再赘述，这里仅介绍与业绩关系维护有关的内容；</w:t>
      </w:r>
    </w:p>
    <w:p w14:paraId="31043C2E">
      <w:pPr>
        <w:pStyle w:val="3"/>
      </w:pPr>
      <w:r>
        <w:rPr>
          <w:rFonts w:hint="eastAsia"/>
        </w:rPr>
        <w:t>首先，页面的设计思路：由于关系维护的字段往往需要参与到实际的佣金提成计算中，例如留存、交返、利息的提成比例、占比等，这些字段如果各家要添加，也是在后台添加，作为公共字段处理，自定义字段更多是用于补充一些资料信息。</w:t>
      </w:r>
    </w:p>
    <w:p w14:paraId="06C2692B">
      <w:pPr>
        <w:pStyle w:val="3"/>
      </w:pPr>
      <w:r>
        <w:drawing>
          <wp:inline distT="0" distB="0" distL="114300" distR="114300">
            <wp:extent cx="5334000" cy="5562600"/>
            <wp:effectExtent l="0" t="0" r="0" b="0"/>
            <wp:docPr id="147"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descr="image.png"/>
                    <pic:cNvPicPr>
                      <a:picLocks noChangeAspect="1" noChangeArrowheads="1"/>
                    </pic:cNvPicPr>
                  </pic:nvPicPr>
                  <pic:blipFill>
                    <a:blip r:embed="rId40"/>
                    <a:stretch>
                      <a:fillRect/>
                    </a:stretch>
                  </pic:blipFill>
                  <pic:spPr>
                    <a:xfrm>
                      <a:off x="0" y="0"/>
                      <a:ext cx="5334000" cy="5563067"/>
                    </a:xfrm>
                    <a:prstGeom prst="rect">
                      <a:avLst/>
                    </a:prstGeom>
                    <a:noFill/>
                    <a:ln w="9525">
                      <a:noFill/>
                    </a:ln>
                  </pic:spPr>
                </pic:pic>
              </a:graphicData>
            </a:graphic>
          </wp:inline>
        </w:drawing>
      </w:r>
    </w:p>
    <w:p w14:paraId="6F7A7E14">
      <w:pPr>
        <w:pStyle w:val="13"/>
      </w:pPr>
      <w:r>
        <w:rPr>
          <w:rFonts w:hint="eastAsia"/>
        </w:rPr>
        <w:t>字段解释：</w:t>
      </w:r>
      <w:r>
        <w:t xml:space="preserve"> - </w:t>
      </w:r>
      <w:r>
        <w:rPr>
          <w:rFonts w:hint="eastAsia"/>
        </w:rPr>
        <w:t>业务人员代码：即居间人代码；</w:t>
      </w:r>
      <w:r>
        <w:t xml:space="preserve"> - </w:t>
      </w:r>
      <w:r>
        <w:rPr>
          <w:rFonts w:hint="eastAsia"/>
        </w:rPr>
        <w:t>投资者代码：即投资者的资金账号；可以同时输入多个，用英文逗号分割即可；</w:t>
      </w:r>
      <w:r>
        <w:t xml:space="preserve"> - </w:t>
      </w:r>
      <w:r>
        <w:rPr>
          <w:rFonts w:hint="eastAsia"/>
        </w:rPr>
        <w:t>如果部分投资者代码输入错误，则错误的不会被添加，但正确的依旧会被添加；</w:t>
      </w:r>
      <w:r>
        <w:t xml:space="preserve"> - </w:t>
      </w:r>
      <w:r>
        <w:rPr>
          <w:rFonts w:hint="eastAsia"/>
        </w:rPr>
        <w:t>如果已经存在该居间关系，则会提示关系已存在，添加失败；</w:t>
      </w:r>
      <w:r>
        <w:t xml:space="preserve"> - </w:t>
      </w:r>
      <w:r>
        <w:rPr>
          <w:rFonts w:hint="eastAsia"/>
        </w:rPr>
        <w:t>关系类型：根据公司需求，后台配置可选项；</w:t>
      </w:r>
      <w:r>
        <w:t xml:space="preserve"> - </w:t>
      </w:r>
      <w:r>
        <w:rPr>
          <w:rFonts w:hint="eastAsia"/>
        </w:rPr>
        <w:t>关系状态：若为”停止使用”，则该关系失效；</w:t>
      </w:r>
      <w:r>
        <w:t xml:space="preserve"> - </w:t>
      </w:r>
      <w:r>
        <w:rPr>
          <w:rFonts w:hint="eastAsia"/>
        </w:rPr>
        <w:t>开始日期、结束日期：居间人与投资者业绩关系的生效起止日期；根据期货公司要求是否启用这个区间；——不过，应居间新规要求对接居间客户回访规则的过程中，德索总结经验，逐步趋向于建议应将”关系状态”与关系起止日期及时维护到位！</w:t>
      </w:r>
      <w:r>
        <w:t xml:space="preserve"> - </w:t>
      </w:r>
      <w:r>
        <w:rPr>
          <w:rFonts w:hint="eastAsia"/>
        </w:rPr>
        <w:t>若启用了”结束日期”，则时间到了结束日期，居间关系失效，结束日期之后的交易日将不参与提成计算；如果居间人要续期，需要新增一条关系设置，在此续期之后，需要重新计算；</w:t>
      </w:r>
      <w:r>
        <w:t xml:space="preserve"> - </w:t>
      </w:r>
      <w:r>
        <w:rPr>
          <w:rFonts w:hint="eastAsia"/>
        </w:rPr>
        <w:t>若不启用”结束日期”，则只是作为一项记录，并不影响提成计算；</w:t>
      </w:r>
      <w:r>
        <w:t xml:space="preserve"> - </w:t>
      </w:r>
      <w:r>
        <w:rPr>
          <w:rFonts w:hint="eastAsia"/>
        </w:rPr>
        <w:t>提成占比：将按给定公式算出的</w:t>
      </w:r>
      <w:r>
        <w:t xml:space="preserve"> </w:t>
      </w:r>
      <w:r>
        <w:rPr>
          <w:rFonts w:hint="eastAsia"/>
        </w:rPr>
        <w:t>居间返佣</w:t>
      </w:r>
      <w:r>
        <w:t xml:space="preserve"> * </w:t>
      </w:r>
      <w:r>
        <w:rPr>
          <w:rFonts w:hint="eastAsia"/>
        </w:rPr>
        <w:t>提成占比</w:t>
      </w:r>
      <w:r>
        <w:t xml:space="preserve"> </w:t>
      </w:r>
      <w:r>
        <w:rPr>
          <w:rFonts w:hint="eastAsia"/>
        </w:rPr>
        <w:t>得到居间对此客户的最终返佣；</w:t>
      </w:r>
      <w:r>
        <w:t xml:space="preserve"> - </w:t>
      </w:r>
      <w:r>
        <w:rPr>
          <w:rFonts w:hint="eastAsia"/>
        </w:rPr>
        <w:t>常用于多个居间人共享一个客户的情况，此时每个居间人的提成占比都小于1，但加起来刚好是1；</w:t>
      </w:r>
      <w:r>
        <w:t xml:space="preserve"> - </w:t>
      </w:r>
      <w:r>
        <w:rPr>
          <w:rFonts w:hint="eastAsia"/>
        </w:rPr>
        <w:t>业绩占比：同提成占比的使用方式，对相关业绩报表中业绩指标的统计产生影响；</w:t>
      </w:r>
      <w:r>
        <w:t xml:space="preserve"> - </w:t>
      </w:r>
      <w:r>
        <w:rPr>
          <w:rFonts w:hint="eastAsia"/>
        </w:rPr>
        <w:t>提成类型：若不填写，默认为留存手续费；提成类型可以包含以下几种，按期货公司实际业务需要灵活配置：</w:t>
      </w:r>
      <w:r>
        <w:t xml:space="preserve"> - </w:t>
      </w:r>
      <w:r>
        <w:rPr>
          <w:rFonts w:hint="eastAsia"/>
        </w:rPr>
        <w:t>留存手续费：留存手续费</w:t>
      </w:r>
      <w:r>
        <w:rPr>
          <w:rFonts w:hint="eastAsia"/>
          <w:i/>
          <w:iCs/>
        </w:rPr>
        <w:t>提成比例；</w:t>
      </w:r>
      <w:r>
        <w:rPr>
          <w:i/>
          <w:iCs/>
        </w:rPr>
        <w:t xml:space="preserve"> - </w:t>
      </w:r>
      <w:r>
        <w:rPr>
          <w:rFonts w:hint="eastAsia"/>
          <w:i/>
          <w:iCs/>
        </w:rPr>
        <w:t>交易所手续费：交易所手续费</w:t>
      </w:r>
      <w:r>
        <w:rPr>
          <w:rFonts w:hint="eastAsia"/>
        </w:rPr>
        <w:t>提成比例；</w:t>
      </w:r>
      <w:r>
        <w:t xml:space="preserve"> - </w:t>
      </w:r>
      <w:r>
        <w:rPr>
          <w:rFonts w:hint="eastAsia"/>
        </w:rPr>
        <w:t>交易所保底：在交易所手续费的基础上，按手数多收或按金额多收一个固定的比例，剩余的全部返给居间人；例如某品种，在交易所手续费基础上，按照每手加收2块钱，其余都返还给居间人这样的规则，在系统中也都可以实现。</w:t>
      </w:r>
      <w:r>
        <w:t xml:space="preserve"> - </w:t>
      </w:r>
      <w:r>
        <w:rPr>
          <w:rFonts w:hint="eastAsia"/>
        </w:rPr>
        <w:t>特殊：指个性化的公司保底设置；比如，手续费按手数收取的、固定收一个留底金额，按成交额收的、则按成交额的比例收取一个留底，其余再返给居间人。</w:t>
      </w:r>
    </w:p>
    <w:p w14:paraId="6E2CF713">
      <w:pPr>
        <w:pStyle w:val="26"/>
      </w:pPr>
      <w:r>
        <w:rPr>
          <w:rFonts w:hint="eastAsia"/>
        </w:rPr>
        <w:t>最后，修改界面，在关系数据的最下方，同样引入利益冲突筛查结果</w:t>
      </w:r>
      <w:r>
        <w:t xml:space="preserve"> </w:t>
      </w:r>
      <w:r>
        <w:rPr>
          <w:rFonts w:hint="eastAsia"/>
        </w:rPr>
        <w:t>和</w:t>
      </w:r>
      <w:r>
        <w:t xml:space="preserve"> </w:t>
      </w:r>
      <w:r>
        <w:rPr>
          <w:rFonts w:hint="eastAsia"/>
        </w:rPr>
        <w:t>变更日志：</w:t>
      </w:r>
    </w:p>
    <w:p w14:paraId="16878D7C">
      <w:pPr>
        <w:pStyle w:val="3"/>
      </w:pPr>
      <w:r>
        <w:drawing>
          <wp:inline distT="0" distB="0" distL="114300" distR="114300">
            <wp:extent cx="5334000" cy="1544320"/>
            <wp:effectExtent l="0" t="0" r="0" b="0"/>
            <wp:docPr id="150"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descr="image.png"/>
                    <pic:cNvPicPr>
                      <a:picLocks noChangeAspect="1" noChangeArrowheads="1"/>
                    </pic:cNvPicPr>
                  </pic:nvPicPr>
                  <pic:blipFill>
                    <a:blip r:embed="rId41"/>
                    <a:stretch>
                      <a:fillRect/>
                    </a:stretch>
                  </pic:blipFill>
                  <pic:spPr>
                    <a:xfrm>
                      <a:off x="0" y="0"/>
                      <a:ext cx="5334000" cy="1544908"/>
                    </a:xfrm>
                    <a:prstGeom prst="rect">
                      <a:avLst/>
                    </a:prstGeom>
                    <a:noFill/>
                    <a:ln w="9525">
                      <a:noFill/>
                    </a:ln>
                  </pic:spPr>
                </pic:pic>
              </a:graphicData>
            </a:graphic>
          </wp:inline>
        </w:drawing>
      </w:r>
    </w:p>
    <w:p w14:paraId="67DCDFAB">
      <w:pPr>
        <w:pStyle w:val="3"/>
      </w:pPr>
      <w:r>
        <w:rPr>
          <w:rFonts w:hint="eastAsia"/>
          <w:b/>
          <w:bCs/>
        </w:rPr>
        <w:t>注：</w:t>
      </w:r>
      <w:r>
        <w:rPr>
          <w:rFonts w:hint="eastAsia"/>
        </w:rPr>
        <w:t>【修改】提交时，系统不会发起防范利益冲突筛查。</w:t>
      </w:r>
    </w:p>
    <w:p w14:paraId="4EDF36A6">
      <w:pPr>
        <w:pStyle w:val="27"/>
        <w:numPr>
          <w:ilvl w:val="0"/>
          <w:numId w:val="2"/>
        </w:numPr>
      </w:pPr>
      <w:r>
        <w:rPr>
          <w:rFonts w:hint="eastAsia"/>
          <w:b/>
          <w:bCs/>
        </w:rPr>
        <w:t>批量修改</w:t>
      </w:r>
    </w:p>
    <w:p w14:paraId="2014FCE7">
      <w:pPr>
        <w:pStyle w:val="26"/>
      </w:pPr>
      <w:r>
        <w:rPr>
          <w:rFonts w:hint="eastAsia"/>
        </w:rPr>
        <w:t>与居间人信息的批量修改类似，此功能主要用于：多条居间人业绩关系的同一列字段希望批量更新成同一个结果。</w:t>
      </w:r>
    </w:p>
    <w:p w14:paraId="261046BC">
      <w:pPr>
        <w:pStyle w:val="3"/>
      </w:pPr>
      <w:r>
        <w:rPr>
          <w:rFonts w:hint="eastAsia"/>
        </w:rPr>
        <w:t>例如：同时对一批居间关系进行注销操作，或者更新关系的结束日期。</w:t>
      </w:r>
    </w:p>
    <w:p w14:paraId="292934C3">
      <w:pPr>
        <w:pStyle w:val="3"/>
      </w:pPr>
      <w:r>
        <w:rPr>
          <w:rFonts w:hint="eastAsia"/>
        </w:rPr>
        <w:t>下面以批量更新一个居间名下所有客户关系的结束日期举例：</w:t>
      </w:r>
    </w:p>
    <w:p w14:paraId="06E50D6B">
      <w:pPr>
        <w:pStyle w:val="3"/>
      </w:pPr>
      <w:r>
        <w:drawing>
          <wp:inline distT="0" distB="0" distL="114300" distR="114300">
            <wp:extent cx="5334000" cy="2834005"/>
            <wp:effectExtent l="0" t="0" r="0" b="0"/>
            <wp:docPr id="153"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descr="image.png"/>
                    <pic:cNvPicPr>
                      <a:picLocks noChangeAspect="1" noChangeArrowheads="1"/>
                    </pic:cNvPicPr>
                  </pic:nvPicPr>
                  <pic:blipFill>
                    <a:blip r:embed="rId42"/>
                    <a:stretch>
                      <a:fillRect/>
                    </a:stretch>
                  </pic:blipFill>
                  <pic:spPr>
                    <a:xfrm>
                      <a:off x="0" y="0"/>
                      <a:ext cx="5334000" cy="2834592"/>
                    </a:xfrm>
                    <a:prstGeom prst="rect">
                      <a:avLst/>
                    </a:prstGeom>
                    <a:noFill/>
                    <a:ln w="9525">
                      <a:noFill/>
                    </a:ln>
                  </pic:spPr>
                </pic:pic>
              </a:graphicData>
            </a:graphic>
          </wp:inline>
        </w:drawing>
      </w:r>
    </w:p>
    <w:p w14:paraId="2CAF7BA6">
      <w:pPr>
        <w:pStyle w:val="3"/>
      </w:pPr>
      <w:r>
        <w:rPr>
          <w:rFonts w:hint="eastAsia"/>
        </w:rPr>
        <w:t>通过居间人代码快查询出所有该居间的关系，如果一页显示不全，可以通过右下角的显示数量控制展示所有条目。</w:t>
      </w:r>
    </w:p>
    <w:p w14:paraId="311D222A">
      <w:pPr>
        <w:pStyle w:val="3"/>
      </w:pPr>
      <w:r>
        <w:rPr>
          <w:rFonts w:hint="eastAsia"/>
        </w:rPr>
        <w:t>在列表界面左上角选中全部记录，点击批量修改：</w:t>
      </w:r>
    </w:p>
    <w:p w14:paraId="46003459">
      <w:pPr>
        <w:pStyle w:val="3"/>
      </w:pPr>
      <w:r>
        <w:drawing>
          <wp:inline distT="0" distB="0" distL="114300" distR="114300">
            <wp:extent cx="5334000" cy="3829685"/>
            <wp:effectExtent l="0" t="0" r="0" b="0"/>
            <wp:docPr id="156"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Picture" descr="image.png"/>
                    <pic:cNvPicPr>
                      <a:picLocks noChangeAspect="1" noChangeArrowheads="1"/>
                    </pic:cNvPicPr>
                  </pic:nvPicPr>
                  <pic:blipFill>
                    <a:blip r:embed="rId43"/>
                    <a:stretch>
                      <a:fillRect/>
                    </a:stretch>
                  </pic:blipFill>
                  <pic:spPr>
                    <a:xfrm>
                      <a:off x="0" y="0"/>
                      <a:ext cx="5334000" cy="3830177"/>
                    </a:xfrm>
                    <a:prstGeom prst="rect">
                      <a:avLst/>
                    </a:prstGeom>
                    <a:noFill/>
                    <a:ln w="9525">
                      <a:noFill/>
                    </a:ln>
                  </pic:spPr>
                </pic:pic>
              </a:graphicData>
            </a:graphic>
          </wp:inline>
        </w:drawing>
      </w:r>
    </w:p>
    <w:p w14:paraId="3F031975">
      <w:pPr>
        <w:pStyle w:val="3"/>
      </w:pPr>
      <w:r>
        <w:rPr>
          <w:rFonts w:hint="eastAsia"/>
        </w:rPr>
        <w:t>填写结束日期之后，</w:t>
      </w:r>
      <w:r>
        <w:t xml:space="preserve"> </w:t>
      </w:r>
      <w:r>
        <w:rPr>
          <w:rFonts w:hint="eastAsia"/>
        </w:rPr>
        <w:t>记得左边的复选框勾选上，再保存。</w:t>
      </w:r>
    </w:p>
    <w:p w14:paraId="47049792">
      <w:pPr>
        <w:pStyle w:val="3"/>
      </w:pPr>
      <w:r>
        <w:drawing>
          <wp:inline distT="0" distB="0" distL="114300" distR="114300">
            <wp:extent cx="5334000" cy="2608580"/>
            <wp:effectExtent l="0" t="0" r="0" b="0"/>
            <wp:docPr id="159"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descr="image.png"/>
                    <pic:cNvPicPr>
                      <a:picLocks noChangeAspect="1" noChangeArrowheads="1"/>
                    </pic:cNvPicPr>
                  </pic:nvPicPr>
                  <pic:blipFill>
                    <a:blip r:embed="rId44"/>
                    <a:stretch>
                      <a:fillRect/>
                    </a:stretch>
                  </pic:blipFill>
                  <pic:spPr>
                    <a:xfrm>
                      <a:off x="0" y="0"/>
                      <a:ext cx="5334000" cy="2609147"/>
                    </a:xfrm>
                    <a:prstGeom prst="rect">
                      <a:avLst/>
                    </a:prstGeom>
                    <a:noFill/>
                    <a:ln w="9525">
                      <a:noFill/>
                    </a:ln>
                  </pic:spPr>
                </pic:pic>
              </a:graphicData>
            </a:graphic>
          </wp:inline>
        </w:drawing>
      </w:r>
    </w:p>
    <w:p w14:paraId="7FD5C557">
      <w:pPr>
        <w:pStyle w:val="3"/>
      </w:pPr>
      <w:r>
        <w:rPr>
          <w:rFonts w:hint="eastAsia"/>
        </w:rPr>
        <w:t>再次查询，就可以看到居间关系的结束日期已经批量更新，当然需要审核通过之后才算正式生效。</w:t>
      </w:r>
    </w:p>
    <w:p w14:paraId="18DE8376">
      <w:pPr>
        <w:pStyle w:val="3"/>
      </w:pPr>
      <w:r>
        <w:fldChar w:fldCharType="begin"/>
      </w:r>
      <w:r>
        <w:instrText xml:space="preserve"> HYPERLINK "/videos/批量更新居间人信息.mp4" \h </w:instrText>
      </w:r>
      <w:r>
        <w:fldChar w:fldCharType="separate"/>
      </w:r>
      <w:r>
        <w:rPr>
          <w:rStyle w:val="23"/>
          <w:rFonts w:hint="eastAsia"/>
        </w:rPr>
        <w:t>居间业绩关系批量修改.mp4</w:t>
      </w:r>
      <w:r>
        <w:rPr>
          <w:rStyle w:val="23"/>
          <w:rFonts w:hint="eastAsia"/>
        </w:rPr>
        <w:fldChar w:fldCharType="end"/>
      </w:r>
    </w:p>
    <w:p w14:paraId="31F998BB">
      <w:pPr>
        <w:pStyle w:val="27"/>
        <w:numPr>
          <w:ilvl w:val="0"/>
          <w:numId w:val="2"/>
        </w:numPr>
      </w:pPr>
      <w:r>
        <w:rPr>
          <w:rFonts w:hint="eastAsia"/>
          <w:b/>
          <w:bCs/>
        </w:rPr>
        <w:t>根据主键查询</w:t>
      </w:r>
    </w:p>
    <w:p w14:paraId="4094928C">
      <w:pPr>
        <w:pStyle w:val="26"/>
      </w:pPr>
      <w:r>
        <w:rPr>
          <w:rFonts w:hint="eastAsia"/>
        </w:rPr>
        <w:t>当然，很多时候是需要同时对一批居间人的部分业绩关系进行批量更新，光靠筛选区的查询条件无法满足要求时，可以使用按主键查询功能，举例说明：</w:t>
      </w:r>
    </w:p>
    <w:p w14:paraId="1AE9679C">
      <w:pPr>
        <w:pStyle w:val="3"/>
      </w:pPr>
      <w:r>
        <w:rPr>
          <w:rFonts w:hint="eastAsia"/>
        </w:rPr>
        <w:t>一条居间的业绩关系，由居间人代码|投资者代码|关系类型|关系开始日期</w:t>
      </w:r>
      <w:r>
        <w:t xml:space="preserve"> </w:t>
      </w:r>
      <w:r>
        <w:rPr>
          <w:rFonts w:hint="eastAsia"/>
        </w:rPr>
        <w:t>唯一确定，所以只需要上传包含这四列的表格，就可以精确定位这一批关系，如下图所示：</w:t>
      </w:r>
    </w:p>
    <w:p w14:paraId="46649FD4">
      <w:pPr>
        <w:pStyle w:val="3"/>
      </w:pPr>
      <w:r>
        <w:drawing>
          <wp:inline distT="0" distB="0" distL="114300" distR="114300">
            <wp:extent cx="3610610" cy="923925"/>
            <wp:effectExtent l="0" t="0" r="0" b="0"/>
            <wp:docPr id="162"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descr="image.png"/>
                    <pic:cNvPicPr>
                      <a:picLocks noChangeAspect="1" noChangeArrowheads="1"/>
                    </pic:cNvPicPr>
                  </pic:nvPicPr>
                  <pic:blipFill>
                    <a:blip r:embed="rId45"/>
                    <a:stretch>
                      <a:fillRect/>
                    </a:stretch>
                  </pic:blipFill>
                  <pic:spPr>
                    <a:xfrm>
                      <a:off x="0" y="0"/>
                      <a:ext cx="3610799" cy="924136"/>
                    </a:xfrm>
                    <a:prstGeom prst="rect">
                      <a:avLst/>
                    </a:prstGeom>
                    <a:noFill/>
                    <a:ln w="9525">
                      <a:noFill/>
                    </a:ln>
                  </pic:spPr>
                </pic:pic>
              </a:graphicData>
            </a:graphic>
          </wp:inline>
        </w:drawing>
      </w:r>
    </w:p>
    <w:p w14:paraId="49D1A6C8">
      <w:pPr>
        <w:pStyle w:val="3"/>
      </w:pPr>
      <w:r>
        <w:rPr>
          <w:rFonts w:hint="eastAsia"/>
        </w:rPr>
        <w:t>将表格上传之后，再点查询，就能得到对应的居间关系，然后再进行批量修改即可。</w:t>
      </w:r>
    </w:p>
    <w:p w14:paraId="7A4F6CB1">
      <w:pPr>
        <w:pStyle w:val="3"/>
      </w:pPr>
      <w:r>
        <w:drawing>
          <wp:inline distT="0" distB="0" distL="114300" distR="114300">
            <wp:extent cx="5334000" cy="2045970"/>
            <wp:effectExtent l="0" t="0" r="0" b="0"/>
            <wp:docPr id="165"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descr="image.png"/>
                    <pic:cNvPicPr>
                      <a:picLocks noChangeAspect="1" noChangeArrowheads="1"/>
                    </pic:cNvPicPr>
                  </pic:nvPicPr>
                  <pic:blipFill>
                    <a:blip r:embed="rId46"/>
                    <a:stretch>
                      <a:fillRect/>
                    </a:stretch>
                  </pic:blipFill>
                  <pic:spPr>
                    <a:xfrm>
                      <a:off x="0" y="0"/>
                      <a:ext cx="5334000" cy="2046436"/>
                    </a:xfrm>
                    <a:prstGeom prst="rect">
                      <a:avLst/>
                    </a:prstGeom>
                    <a:noFill/>
                    <a:ln w="9525">
                      <a:noFill/>
                    </a:ln>
                  </pic:spPr>
                </pic:pic>
              </a:graphicData>
            </a:graphic>
          </wp:inline>
        </w:drawing>
      </w:r>
    </w:p>
    <w:p w14:paraId="7758F706">
      <w:pPr>
        <w:pStyle w:val="3"/>
      </w:pPr>
      <w:r>
        <w:fldChar w:fldCharType="begin"/>
      </w:r>
      <w:r>
        <w:instrText xml:space="preserve"> HYPERLINK "/videos/居间业绩关系根据主键查询.mp4" \h </w:instrText>
      </w:r>
      <w:r>
        <w:fldChar w:fldCharType="separate"/>
      </w:r>
      <w:r>
        <w:rPr>
          <w:rStyle w:val="23"/>
          <w:rFonts w:hint="eastAsia"/>
        </w:rPr>
        <w:t>居间业绩关系根据主键查询.mp4</w:t>
      </w:r>
      <w:r>
        <w:rPr>
          <w:rStyle w:val="23"/>
          <w:rFonts w:hint="eastAsia"/>
        </w:rPr>
        <w:fldChar w:fldCharType="end"/>
      </w:r>
    </w:p>
    <w:p w14:paraId="5D4D9898">
      <w:pPr>
        <w:pStyle w:val="27"/>
        <w:numPr>
          <w:ilvl w:val="0"/>
          <w:numId w:val="2"/>
        </w:numPr>
      </w:pPr>
      <w:r>
        <w:rPr>
          <w:rFonts w:hint="eastAsia"/>
          <w:b/>
          <w:bCs/>
        </w:rPr>
        <w:t>批量转移</w:t>
      </w:r>
    </w:p>
    <w:p w14:paraId="5ED84F39">
      <w:pPr>
        <w:pStyle w:val="26"/>
      </w:pPr>
      <w:r>
        <w:rPr>
          <w:rFonts w:hint="eastAsia"/>
        </w:rPr>
        <w:t>针对需要将一个居间人名下的关系转移给另一个居间人或者客户经理的情况。</w:t>
      </w:r>
    </w:p>
    <w:p w14:paraId="611083E3">
      <w:pPr>
        <w:pStyle w:val="3"/>
      </w:pPr>
      <w:r>
        <w:rPr>
          <w:rFonts w:hint="eastAsia"/>
          <w:b/>
          <w:bCs/>
        </w:rPr>
        <w:t>部分字段说明</w:t>
      </w:r>
      <w:r>
        <w:rPr>
          <w:rFonts w:hint="eastAsia"/>
        </w:rPr>
        <w:t>：</w:t>
      </w:r>
    </w:p>
    <w:p w14:paraId="000EFC62">
      <w:pPr>
        <w:pStyle w:val="3"/>
      </w:pPr>
      <w:r>
        <w:drawing>
          <wp:inline distT="0" distB="0" distL="114300" distR="114300">
            <wp:extent cx="5334000" cy="1838325"/>
            <wp:effectExtent l="0" t="0" r="0" b="0"/>
            <wp:docPr id="169"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Picture" descr="image.png"/>
                    <pic:cNvPicPr>
                      <a:picLocks noChangeAspect="1" noChangeArrowheads="1"/>
                    </pic:cNvPicPr>
                  </pic:nvPicPr>
                  <pic:blipFill>
                    <a:blip r:embed="rId47"/>
                    <a:stretch>
                      <a:fillRect/>
                    </a:stretch>
                  </pic:blipFill>
                  <pic:spPr>
                    <a:xfrm>
                      <a:off x="0" y="0"/>
                      <a:ext cx="5334000" cy="1838755"/>
                    </a:xfrm>
                    <a:prstGeom prst="rect">
                      <a:avLst/>
                    </a:prstGeom>
                    <a:noFill/>
                    <a:ln w="9525">
                      <a:noFill/>
                    </a:ln>
                  </pic:spPr>
                </pic:pic>
              </a:graphicData>
            </a:graphic>
          </wp:inline>
        </w:drawing>
      </w:r>
    </w:p>
    <w:p w14:paraId="76CA62CC">
      <w:pPr>
        <w:pStyle w:val="3"/>
      </w:pPr>
      <w:r>
        <w:rPr>
          <w:rFonts w:hint="eastAsia"/>
          <w:b/>
          <w:bCs/>
        </w:rPr>
        <w:t>投资者范围</w:t>
      </w:r>
      <w:r>
        <w:rPr>
          <w:rFonts w:hint="eastAsia"/>
        </w:rPr>
        <w:t>：优先级最高，若勾选”全部投资者”，则表示</w:t>
      </w:r>
      <w:r>
        <w:rPr>
          <w:rFonts w:hint="eastAsia"/>
          <w:b/>
          <w:bCs/>
        </w:rPr>
        <w:t>选中所有投资者</w:t>
      </w:r>
      <w:r>
        <w:rPr>
          <w:rFonts w:hint="eastAsia"/>
        </w:rPr>
        <w:t>（</w:t>
      </w:r>
      <w:r>
        <w:rPr>
          <w:rFonts w:hint="eastAsia"/>
          <w:b/>
          <w:bCs/>
        </w:rPr>
        <w:t>无论下方两个字段选择什么</w:t>
      </w:r>
      <w:r>
        <w:rPr>
          <w:rFonts w:hint="eastAsia"/>
        </w:rPr>
        <w:t>）</w:t>
      </w:r>
    </w:p>
    <w:p w14:paraId="631FF75A">
      <w:pPr>
        <w:pStyle w:val="3"/>
      </w:pPr>
      <w:r>
        <w:drawing>
          <wp:inline distT="0" distB="0" distL="114300" distR="114300">
            <wp:extent cx="5334000" cy="715010"/>
            <wp:effectExtent l="0" t="0" r="0" b="0"/>
            <wp:docPr id="172"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descr="image.png"/>
                    <pic:cNvPicPr>
                      <a:picLocks noChangeAspect="1" noChangeArrowheads="1"/>
                    </pic:cNvPicPr>
                  </pic:nvPicPr>
                  <pic:blipFill>
                    <a:blip r:embed="rId48"/>
                    <a:stretch>
                      <a:fillRect/>
                    </a:stretch>
                  </pic:blipFill>
                  <pic:spPr>
                    <a:xfrm>
                      <a:off x="0" y="0"/>
                      <a:ext cx="5334000" cy="715091"/>
                    </a:xfrm>
                    <a:prstGeom prst="rect">
                      <a:avLst/>
                    </a:prstGeom>
                    <a:noFill/>
                    <a:ln w="9525">
                      <a:noFill/>
                    </a:ln>
                  </pic:spPr>
                </pic:pic>
              </a:graphicData>
            </a:graphic>
          </wp:inline>
        </w:drawing>
      </w:r>
    </w:p>
    <w:p w14:paraId="3052E5FA">
      <w:pPr>
        <w:pStyle w:val="3"/>
      </w:pPr>
      <w:r>
        <w:rPr>
          <w:rFonts w:hint="eastAsia"/>
          <w:b/>
          <w:bCs/>
        </w:rPr>
        <w:t>按关系类型选择投资者</w:t>
      </w:r>
      <w:r>
        <w:rPr>
          <w:rFonts w:hint="eastAsia"/>
        </w:rPr>
        <w:t>：勾选某关系类型，下方对应的投资者会被选中</w:t>
      </w:r>
    </w:p>
    <w:p w14:paraId="39101C38">
      <w:pPr>
        <w:pStyle w:val="3"/>
      </w:pPr>
      <w:r>
        <w:rPr>
          <w:rFonts w:hint="eastAsia"/>
          <w:b/>
          <w:bCs/>
        </w:rPr>
        <w:t>按投资者编号选择，分为2步</w:t>
      </w:r>
      <w:r>
        <w:rPr>
          <w:rFonts w:hint="eastAsia"/>
        </w:rPr>
        <w:t>：</w:t>
      </w:r>
    </w:p>
    <w:p w14:paraId="10D515FD">
      <w:pPr>
        <w:pStyle w:val="3"/>
      </w:pPr>
      <w:r>
        <w:rPr>
          <w:rFonts w:hint="eastAsia"/>
        </w:rPr>
        <w:t>首先，上传excel文件。系统会自动识别第一列的所有数据并放在文本框里。（因此，需要把投资者编号放在excel的第一列）</w:t>
      </w:r>
    </w:p>
    <w:p w14:paraId="149CD352">
      <w:pPr>
        <w:pStyle w:val="3"/>
      </w:pPr>
      <w:r>
        <w:rPr>
          <w:rFonts w:hint="eastAsia"/>
        </w:rPr>
        <w:t>然后，点击”选择”，系统会自动匹配并在上方的投资者列表中勾选对应的投资者，如下图示。</w:t>
      </w:r>
    </w:p>
    <w:p w14:paraId="2D089009">
      <w:pPr>
        <w:pStyle w:val="3"/>
      </w:pPr>
      <w:r>
        <w:drawing>
          <wp:inline distT="0" distB="0" distL="114300" distR="114300">
            <wp:extent cx="5334000" cy="1839595"/>
            <wp:effectExtent l="0" t="0" r="0" b="0"/>
            <wp:docPr id="175"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Picture" descr="image.png"/>
                    <pic:cNvPicPr>
                      <a:picLocks noChangeAspect="1" noChangeArrowheads="1"/>
                    </pic:cNvPicPr>
                  </pic:nvPicPr>
                  <pic:blipFill>
                    <a:blip r:embed="rId49"/>
                    <a:stretch>
                      <a:fillRect/>
                    </a:stretch>
                  </pic:blipFill>
                  <pic:spPr>
                    <a:xfrm>
                      <a:off x="0" y="0"/>
                      <a:ext cx="5334000" cy="1839875"/>
                    </a:xfrm>
                    <a:prstGeom prst="rect">
                      <a:avLst/>
                    </a:prstGeom>
                    <a:noFill/>
                    <a:ln w="9525">
                      <a:noFill/>
                    </a:ln>
                  </pic:spPr>
                </pic:pic>
              </a:graphicData>
            </a:graphic>
          </wp:inline>
        </w:drawing>
      </w:r>
    </w:p>
    <w:p w14:paraId="4913E43A">
      <w:pPr>
        <w:pStyle w:val="3"/>
      </w:pPr>
      <w:r>
        <w:rPr>
          <w:rFonts w:hint="eastAsia"/>
          <w:b/>
          <w:bCs/>
        </w:rPr>
        <w:t>举例说明</w:t>
      </w:r>
      <w:r>
        <w:rPr>
          <w:rFonts w:hint="eastAsia"/>
        </w:rPr>
        <w:t>，如现在需要将test11居间人的关系转给sunwear，可以勾选全部投资者，也可以按开发类型选择，或者可以通过excel列的形式上传需要转移的投资者。</w:t>
      </w:r>
    </w:p>
    <w:p w14:paraId="6B0542C4">
      <w:pPr>
        <w:pStyle w:val="3"/>
      </w:pPr>
      <w:r>
        <w:rPr>
          <w:rFonts w:hint="eastAsia"/>
          <w:b/>
          <w:bCs/>
        </w:rPr>
        <w:t>原关系状态</w:t>
      </w:r>
      <w:r>
        <w:rPr>
          <w:rFonts w:hint="eastAsia"/>
        </w:rPr>
        <w:t>：表示test11被转走的关系是继续有效还是停止使用；</w:t>
      </w:r>
    </w:p>
    <w:p w14:paraId="63EAEF91">
      <w:pPr>
        <w:pStyle w:val="3"/>
      </w:pPr>
      <w:r>
        <w:rPr>
          <w:rFonts w:hint="eastAsia"/>
          <w:b/>
          <w:bCs/>
        </w:rPr>
        <w:t>旧关系中止日期：</w:t>
      </w:r>
      <w:r>
        <w:t xml:space="preserve"> </w:t>
      </w:r>
      <w:r>
        <w:rPr>
          <w:rFonts w:hint="eastAsia"/>
        </w:rPr>
        <w:t>用于设置test11被转走的关系的结束日期，默认是系统当前日期；</w:t>
      </w:r>
    </w:p>
    <w:p w14:paraId="5189D846">
      <w:pPr>
        <w:pStyle w:val="3"/>
      </w:pPr>
      <w:r>
        <w:rPr>
          <w:rFonts w:hint="eastAsia"/>
          <w:b/>
          <w:bCs/>
        </w:rPr>
        <w:t>调整后的业务人员代码</w:t>
      </w:r>
      <w:r>
        <w:rPr>
          <w:rFonts w:hint="eastAsia"/>
        </w:rPr>
        <w:t>：sunwear，可以是居间人也可以是客户经理；</w:t>
      </w:r>
    </w:p>
    <w:p w14:paraId="72C47380">
      <w:pPr>
        <w:pStyle w:val="3"/>
      </w:pPr>
      <w:r>
        <w:rPr>
          <w:rFonts w:hint="eastAsia"/>
          <w:b/>
          <w:bCs/>
        </w:rPr>
        <w:t>新关系类型</w:t>
      </w:r>
      <w:r>
        <w:rPr>
          <w:rFonts w:hint="eastAsia"/>
        </w:rPr>
        <w:t>：如果居间开发类型同时存在好几种，需要进行选择；</w:t>
      </w:r>
    </w:p>
    <w:p w14:paraId="4FBBADCE">
      <w:pPr>
        <w:pStyle w:val="3"/>
      </w:pPr>
      <w:r>
        <w:rPr>
          <w:rFonts w:hint="eastAsia"/>
          <w:b/>
          <w:bCs/>
        </w:rPr>
        <w:t>忽略关系类型校验</w:t>
      </w:r>
      <w:r>
        <w:rPr>
          <w:rFonts w:hint="eastAsia"/>
        </w:rPr>
        <w:t>：如果是居间关系转给客户经理，则需要勾选，否则无法转移；</w:t>
      </w:r>
    </w:p>
    <w:p w14:paraId="26A8D35F">
      <w:pPr>
        <w:pStyle w:val="3"/>
      </w:pPr>
      <w:r>
        <w:rPr>
          <w:rFonts w:hint="eastAsia"/>
        </w:rPr>
        <w:t>后面的字段，左边都有一个复选框，如果不打上勾，则新关系直接取老关系的值；如果打上勾，则新关系统一用这个结果。</w:t>
      </w:r>
    </w:p>
    <w:p w14:paraId="06D61777">
      <w:pPr>
        <w:pStyle w:val="3"/>
      </w:pPr>
      <w:r>
        <w:drawing>
          <wp:inline distT="0" distB="0" distL="114300" distR="114300">
            <wp:extent cx="5334000" cy="5004435"/>
            <wp:effectExtent l="0" t="0" r="0" b="0"/>
            <wp:docPr id="178"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Picture" descr="image.png"/>
                    <pic:cNvPicPr>
                      <a:picLocks noChangeAspect="1" noChangeArrowheads="1"/>
                    </pic:cNvPicPr>
                  </pic:nvPicPr>
                  <pic:blipFill>
                    <a:blip r:embed="rId50"/>
                    <a:stretch>
                      <a:fillRect/>
                    </a:stretch>
                  </pic:blipFill>
                  <pic:spPr>
                    <a:xfrm>
                      <a:off x="0" y="0"/>
                      <a:ext cx="5334000" cy="5004894"/>
                    </a:xfrm>
                    <a:prstGeom prst="rect">
                      <a:avLst/>
                    </a:prstGeom>
                    <a:noFill/>
                    <a:ln w="9525">
                      <a:noFill/>
                    </a:ln>
                  </pic:spPr>
                </pic:pic>
              </a:graphicData>
            </a:graphic>
          </wp:inline>
        </w:drawing>
      </w:r>
    </w:p>
    <w:p w14:paraId="14CE3164">
      <w:pPr>
        <w:pStyle w:val="3"/>
      </w:pPr>
      <w:r>
        <w:rPr>
          <w:rFonts w:hint="eastAsia"/>
        </w:rPr>
        <w:t>如上图</w:t>
      </w:r>
      <w:r>
        <w:t xml:space="preserve"> </w:t>
      </w:r>
      <w:r>
        <w:rPr>
          <w:rFonts w:hint="eastAsia"/>
        </w:rPr>
        <w:t>操作之后，孙伟获得了新的居间关系，而且结束日期都变成了2090-01-01</w:t>
      </w:r>
    </w:p>
    <w:p w14:paraId="68A6EB03">
      <w:pPr>
        <w:pStyle w:val="3"/>
      </w:pPr>
      <w:r>
        <w:drawing>
          <wp:inline distT="0" distB="0" distL="114300" distR="114300">
            <wp:extent cx="5334000" cy="2581275"/>
            <wp:effectExtent l="0" t="0" r="0" b="0"/>
            <wp:docPr id="181"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Picture" descr="image.png"/>
                    <pic:cNvPicPr>
                      <a:picLocks noChangeAspect="1" noChangeArrowheads="1"/>
                    </pic:cNvPicPr>
                  </pic:nvPicPr>
                  <pic:blipFill>
                    <a:blip r:embed="rId51"/>
                    <a:stretch>
                      <a:fillRect/>
                    </a:stretch>
                  </pic:blipFill>
                  <pic:spPr>
                    <a:xfrm>
                      <a:off x="0" y="0"/>
                      <a:ext cx="5334000" cy="2581348"/>
                    </a:xfrm>
                    <a:prstGeom prst="rect">
                      <a:avLst/>
                    </a:prstGeom>
                    <a:noFill/>
                    <a:ln w="9525">
                      <a:noFill/>
                    </a:ln>
                  </pic:spPr>
                </pic:pic>
              </a:graphicData>
            </a:graphic>
          </wp:inline>
        </w:drawing>
      </w:r>
    </w:p>
    <w:p w14:paraId="4DC1C646">
      <w:pPr>
        <w:pStyle w:val="3"/>
      </w:pPr>
      <w:r>
        <w:fldChar w:fldCharType="begin"/>
      </w:r>
      <w:r>
        <w:instrText xml:space="preserve"> HYPERLINK "/videos/居间业绩关系批量转移.mp4" \h </w:instrText>
      </w:r>
      <w:r>
        <w:fldChar w:fldCharType="separate"/>
      </w:r>
      <w:r>
        <w:rPr>
          <w:rStyle w:val="23"/>
          <w:rFonts w:hint="eastAsia"/>
        </w:rPr>
        <w:t>居间业绩关系批量转移.mp4</w:t>
      </w:r>
      <w:r>
        <w:rPr>
          <w:rStyle w:val="23"/>
          <w:rFonts w:hint="eastAsia"/>
        </w:rPr>
        <w:fldChar w:fldCharType="end"/>
      </w:r>
    </w:p>
    <w:bookmarkEnd w:id="37"/>
    <w:p w14:paraId="7B886AE9">
      <w:pPr>
        <w:pStyle w:val="6"/>
      </w:pPr>
      <w:bookmarkStart w:id="38" w:name="居间业绩关系审核"/>
      <w:r>
        <w:t xml:space="preserve">2.3 </w:t>
      </w:r>
      <w:r>
        <w:rPr>
          <w:rFonts w:hint="eastAsia"/>
        </w:rPr>
        <w:t>居间业绩关系审核</w:t>
      </w:r>
    </w:p>
    <w:p w14:paraId="062A3A66">
      <w:pPr>
        <w:pStyle w:val="26"/>
      </w:pPr>
      <w:r>
        <w:rPr>
          <w:rFonts w:hint="eastAsia"/>
        </w:rPr>
        <w:t>与【1.3</w:t>
      </w:r>
      <w:r>
        <w:t xml:space="preserve"> </w:t>
      </w:r>
      <w:r>
        <w:rPr>
          <w:rFonts w:hint="eastAsia"/>
        </w:rPr>
        <w:t>居间人信息审核】的使用逻辑一样，不再赘述。</w:t>
      </w:r>
    </w:p>
    <w:p w14:paraId="47D5008D">
      <w:r>
        <w:pict>
          <v:rect id="_x0000_i1028" o:spt="1" style="height:1.5pt;width:0pt;" coordsize="21600,21600" o:hr="t" o:hrstd="t" o:hralign="center">
            <v:path/>
            <v:fill focussize="0,0"/>
            <v:stroke/>
            <v:imagedata o:title=""/>
            <o:lock v:ext="edit"/>
            <w10:wrap type="none"/>
            <w10:anchorlock/>
          </v:rect>
        </w:pict>
      </w:r>
    </w:p>
    <w:bookmarkEnd w:id="38"/>
    <w:p w14:paraId="4A3C5407">
      <w:pPr>
        <w:pStyle w:val="6"/>
      </w:pPr>
      <w:bookmarkStart w:id="39" w:name="居间业绩关系批量导入"/>
      <w:r>
        <w:t xml:space="preserve">2.4 </w:t>
      </w:r>
      <w:r>
        <w:rPr>
          <w:rFonts w:hint="eastAsia"/>
        </w:rPr>
        <w:t>居间业绩关系批量导入</w:t>
      </w:r>
    </w:p>
    <w:p w14:paraId="7CAE5715">
      <w:pPr>
        <w:pStyle w:val="26"/>
      </w:pPr>
      <w:r>
        <w:rPr>
          <w:rFonts w:hint="eastAsia"/>
        </w:rPr>
        <w:t>与【1.4</w:t>
      </w:r>
      <w:r>
        <w:t xml:space="preserve"> </w:t>
      </w:r>
      <w:r>
        <w:rPr>
          <w:rFonts w:hint="eastAsia"/>
        </w:rPr>
        <w:t>居间人信息批量导入】的使用逻辑一样，同样支持批量新增</w:t>
      </w:r>
      <w:r>
        <w:t xml:space="preserve"> </w:t>
      </w:r>
      <w:r>
        <w:rPr>
          <w:rFonts w:hint="eastAsia"/>
        </w:rPr>
        <w:t>和</w:t>
      </w:r>
      <w:r>
        <w:t xml:space="preserve"> </w:t>
      </w:r>
      <w:r>
        <w:rPr>
          <w:rFonts w:hint="eastAsia"/>
        </w:rPr>
        <w:t>批量更新，不再赘述。</w:t>
      </w:r>
    </w:p>
    <w:p w14:paraId="372BC283">
      <w:pPr>
        <w:pStyle w:val="3"/>
      </w:pPr>
      <w:r>
        <w:drawing>
          <wp:inline distT="0" distB="0" distL="114300" distR="114300">
            <wp:extent cx="5334000" cy="2350135"/>
            <wp:effectExtent l="0" t="0" r="0" b="0"/>
            <wp:docPr id="187" name="Picture" descr="image.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descr="image.svg"/>
                    <pic:cNvPicPr>
                      <a:picLocks noChangeAspect="1" noChangeArrowheads="1"/>
                    </pic:cNvPicPr>
                  </pic:nvPicPr>
                  <pic:blipFill>
                    <a:blip r:embed="rId34"/>
                    <a:stretch>
                      <a:fillRect/>
                    </a:stretch>
                  </pic:blipFill>
                  <pic:spPr>
                    <a:xfrm>
                      <a:off x="0" y="0"/>
                      <a:ext cx="5334000" cy="2350689"/>
                    </a:xfrm>
                    <a:prstGeom prst="rect">
                      <a:avLst/>
                    </a:prstGeom>
                    <a:noFill/>
                    <a:ln w="9525">
                      <a:noFill/>
                    </a:ln>
                  </pic:spPr>
                </pic:pic>
              </a:graphicData>
            </a:graphic>
          </wp:inline>
        </w:drawing>
      </w:r>
    </w:p>
    <w:p w14:paraId="5F68323F">
      <w:pPr>
        <w:pStyle w:val="3"/>
      </w:pPr>
      <w:r>
        <w:fldChar w:fldCharType="begin"/>
      </w:r>
      <w:r>
        <w:instrText xml:space="preserve"> HYPERLINK "/videos/居间业绩关系批量导入.mp4" \h </w:instrText>
      </w:r>
      <w:r>
        <w:fldChar w:fldCharType="separate"/>
      </w:r>
      <w:r>
        <w:rPr>
          <w:rStyle w:val="23"/>
          <w:rFonts w:hint="eastAsia"/>
        </w:rPr>
        <w:t>批量导入居间业绩关系.mp4</w:t>
      </w:r>
      <w:r>
        <w:rPr>
          <w:rStyle w:val="23"/>
          <w:rFonts w:hint="eastAsia"/>
        </w:rPr>
        <w:fldChar w:fldCharType="end"/>
      </w:r>
    </w:p>
    <w:bookmarkEnd w:id="35"/>
    <w:bookmarkEnd w:id="39"/>
    <w:p w14:paraId="613C2DA7">
      <w:pPr>
        <w:pStyle w:val="5"/>
      </w:pPr>
      <w:bookmarkStart w:id="40" w:name="_Toc30624"/>
      <w:bookmarkStart w:id="41" w:name="居间业绩公式管理"/>
      <w:r>
        <w:t xml:space="preserve">3. </w:t>
      </w:r>
      <w:r>
        <w:rPr>
          <w:rFonts w:hint="eastAsia"/>
        </w:rPr>
        <w:t>居间业绩公式管理</w:t>
      </w:r>
      <w:bookmarkEnd w:id="40"/>
    </w:p>
    <w:p w14:paraId="68FC4DC8">
      <w:pPr>
        <w:pStyle w:val="6"/>
      </w:pPr>
      <w:bookmarkStart w:id="42" w:name="居间业绩公式查询"/>
      <w:r>
        <w:t xml:space="preserve">3.1. </w:t>
      </w:r>
      <w:r>
        <w:rPr>
          <w:rFonts w:hint="eastAsia"/>
        </w:rPr>
        <w:t>居间业绩公式查询</w:t>
      </w:r>
    </w:p>
    <w:p w14:paraId="623A90EA">
      <w:pPr>
        <w:pStyle w:val="26"/>
      </w:pPr>
      <w:r>
        <w:drawing>
          <wp:inline distT="0" distB="0" distL="114300" distR="114300">
            <wp:extent cx="4398645" cy="3199130"/>
            <wp:effectExtent l="0" t="0" r="0" b="0"/>
            <wp:docPr id="193"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descr="image.png"/>
                    <pic:cNvPicPr>
                      <a:picLocks noChangeAspect="1" noChangeArrowheads="1"/>
                    </pic:cNvPicPr>
                  </pic:nvPicPr>
                  <pic:blipFill>
                    <a:blip r:embed="rId52"/>
                    <a:stretch>
                      <a:fillRect/>
                    </a:stretch>
                  </pic:blipFill>
                  <pic:spPr>
                    <a:xfrm>
                      <a:off x="0" y="0"/>
                      <a:ext cx="4399199" cy="3199418"/>
                    </a:xfrm>
                    <a:prstGeom prst="rect">
                      <a:avLst/>
                    </a:prstGeom>
                    <a:noFill/>
                    <a:ln w="9525">
                      <a:noFill/>
                    </a:ln>
                  </pic:spPr>
                </pic:pic>
              </a:graphicData>
            </a:graphic>
          </wp:inline>
        </w:drawing>
      </w:r>
    </w:p>
    <w:p w14:paraId="25F8E2E4">
      <w:pPr>
        <w:pStyle w:val="3"/>
      </w:pPr>
      <w:r>
        <w:rPr>
          <w:rFonts w:hint="eastAsia"/>
        </w:rPr>
        <w:t>选中某个居间人业绩公式，可以查看或者导出。</w:t>
      </w:r>
    </w:p>
    <w:bookmarkEnd w:id="42"/>
    <w:p w14:paraId="77FD9FCE">
      <w:pPr>
        <w:pStyle w:val="6"/>
      </w:pPr>
      <w:bookmarkStart w:id="43" w:name="居间业绩公式维护"/>
      <w:r>
        <w:t xml:space="preserve">3.2. </w:t>
      </w:r>
      <w:r>
        <w:rPr>
          <w:rFonts w:hint="eastAsia"/>
        </w:rPr>
        <w:t>居间业绩公式维护</w:t>
      </w:r>
    </w:p>
    <w:p w14:paraId="10255831">
      <w:pPr>
        <w:pStyle w:val="26"/>
      </w:pPr>
      <w:r>
        <w:rPr>
          <w:b/>
          <w:bCs/>
        </w:rPr>
        <w:t xml:space="preserve">3.2.1. </w:t>
      </w:r>
      <w:r>
        <w:rPr>
          <w:rFonts w:hint="eastAsia"/>
          <w:b/>
          <w:bCs/>
        </w:rPr>
        <w:t>新增</w:t>
      </w:r>
    </w:p>
    <w:p w14:paraId="296343DA">
      <w:pPr>
        <w:pStyle w:val="3"/>
      </w:pPr>
      <w:r>
        <w:rPr>
          <w:rFonts w:hint="eastAsia"/>
        </w:rPr>
        <w:t>点击”“新增”，填写居间业绩公式。</w:t>
      </w:r>
    </w:p>
    <w:p w14:paraId="783FCF84">
      <w:pPr>
        <w:pStyle w:val="3"/>
      </w:pPr>
      <w:r>
        <w:drawing>
          <wp:inline distT="0" distB="0" distL="114300" distR="114300">
            <wp:extent cx="4161155" cy="818515"/>
            <wp:effectExtent l="0" t="0" r="0" b="0"/>
            <wp:docPr id="197"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descr="image.png"/>
                    <pic:cNvPicPr>
                      <a:picLocks noChangeAspect="1" noChangeArrowheads="1"/>
                    </pic:cNvPicPr>
                  </pic:nvPicPr>
                  <pic:blipFill>
                    <a:blip r:embed="rId53"/>
                    <a:stretch>
                      <a:fillRect/>
                    </a:stretch>
                  </pic:blipFill>
                  <pic:spPr>
                    <a:xfrm>
                      <a:off x="0" y="0"/>
                      <a:ext cx="4161599" cy="818987"/>
                    </a:xfrm>
                    <a:prstGeom prst="rect">
                      <a:avLst/>
                    </a:prstGeom>
                    <a:noFill/>
                    <a:ln w="9525">
                      <a:noFill/>
                    </a:ln>
                  </pic:spPr>
                </pic:pic>
              </a:graphicData>
            </a:graphic>
          </wp:inline>
        </w:drawing>
      </w:r>
    </w:p>
    <w:p w14:paraId="6C2BA116">
      <w:pPr>
        <w:pStyle w:val="3"/>
      </w:pPr>
      <w:r>
        <w:rPr>
          <w:rFonts w:hint="eastAsia"/>
        </w:rPr>
        <w:t>填写”业务人员代码”：填写，自动查询带出。</w:t>
      </w:r>
    </w:p>
    <w:p w14:paraId="33E38D10">
      <w:pPr>
        <w:pStyle w:val="3"/>
      </w:pPr>
      <w:r>
        <w:drawing>
          <wp:inline distT="0" distB="0" distL="114300" distR="114300">
            <wp:extent cx="3686175" cy="581025"/>
            <wp:effectExtent l="0" t="0" r="0" b="0"/>
            <wp:docPr id="200"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descr="image.png"/>
                    <pic:cNvPicPr>
                      <a:picLocks noChangeAspect="1" noChangeArrowheads="1"/>
                    </pic:cNvPicPr>
                  </pic:nvPicPr>
                  <pic:blipFill>
                    <a:blip r:embed="rId54"/>
                    <a:stretch>
                      <a:fillRect/>
                    </a:stretch>
                  </pic:blipFill>
                  <pic:spPr>
                    <a:xfrm>
                      <a:off x="0" y="0"/>
                      <a:ext cx="3686399" cy="581060"/>
                    </a:xfrm>
                    <a:prstGeom prst="rect">
                      <a:avLst/>
                    </a:prstGeom>
                    <a:noFill/>
                    <a:ln w="9525">
                      <a:noFill/>
                    </a:ln>
                  </pic:spPr>
                </pic:pic>
              </a:graphicData>
            </a:graphic>
          </wp:inline>
        </w:drawing>
      </w:r>
    </w:p>
    <w:p w14:paraId="18EB3CE7">
      <w:pPr>
        <w:pStyle w:val="3"/>
      </w:pPr>
      <w:r>
        <w:rPr>
          <w:rFonts w:hint="eastAsia"/>
        </w:rPr>
        <w:t>平今返佣标志：是否平今的交易参与返佣</w:t>
      </w:r>
    </w:p>
    <w:p w14:paraId="3996CCF3">
      <w:pPr>
        <w:pStyle w:val="3"/>
      </w:pPr>
      <w:r>
        <w:drawing>
          <wp:inline distT="0" distB="0" distL="114300" distR="114300">
            <wp:extent cx="5334000" cy="1936115"/>
            <wp:effectExtent l="0" t="0" r="0" b="0"/>
            <wp:docPr id="203"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descr="image.png"/>
                    <pic:cNvPicPr>
                      <a:picLocks noChangeAspect="1" noChangeArrowheads="1"/>
                    </pic:cNvPicPr>
                  </pic:nvPicPr>
                  <pic:blipFill>
                    <a:blip r:embed="rId55"/>
                    <a:stretch>
                      <a:fillRect/>
                    </a:stretch>
                  </pic:blipFill>
                  <pic:spPr>
                    <a:xfrm>
                      <a:off x="0" y="0"/>
                      <a:ext cx="5334000" cy="1936272"/>
                    </a:xfrm>
                    <a:prstGeom prst="rect">
                      <a:avLst/>
                    </a:prstGeom>
                    <a:noFill/>
                    <a:ln w="9525">
                      <a:noFill/>
                    </a:ln>
                  </pic:spPr>
                </pic:pic>
              </a:graphicData>
            </a:graphic>
          </wp:inline>
        </w:drawing>
      </w:r>
    </w:p>
    <w:p w14:paraId="304DE242">
      <w:pPr>
        <w:pStyle w:val="3"/>
      </w:pPr>
      <w:r>
        <w:rPr>
          <w:rFonts w:hint="eastAsia"/>
        </w:rPr>
        <w:t>“产品代码”不填写，则默认为所有产品；</w:t>
      </w:r>
    </w:p>
    <w:p w14:paraId="7A6797E5">
      <w:pPr>
        <w:pStyle w:val="3"/>
      </w:pPr>
      <w:r>
        <w:drawing>
          <wp:inline distT="0" distB="0" distL="114300" distR="114300">
            <wp:extent cx="5334000" cy="1817370"/>
            <wp:effectExtent l="0" t="0" r="0" b="0"/>
            <wp:docPr id="206"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descr="image.png"/>
                    <pic:cNvPicPr>
                      <a:picLocks noChangeAspect="1" noChangeArrowheads="1"/>
                    </pic:cNvPicPr>
                  </pic:nvPicPr>
                  <pic:blipFill>
                    <a:blip r:embed="rId56"/>
                    <a:stretch>
                      <a:fillRect/>
                    </a:stretch>
                  </pic:blipFill>
                  <pic:spPr>
                    <a:xfrm>
                      <a:off x="0" y="0"/>
                      <a:ext cx="5334000" cy="1817696"/>
                    </a:xfrm>
                    <a:prstGeom prst="rect">
                      <a:avLst/>
                    </a:prstGeom>
                    <a:noFill/>
                    <a:ln w="9525">
                      <a:noFill/>
                    </a:ln>
                  </pic:spPr>
                </pic:pic>
              </a:graphicData>
            </a:graphic>
          </wp:inline>
        </w:drawing>
      </w:r>
    </w:p>
    <w:p w14:paraId="60FCD23E">
      <w:pPr>
        <w:pStyle w:val="3"/>
      </w:pPr>
      <w:r>
        <w:rPr>
          <w:rFonts w:hint="eastAsia"/>
        </w:rPr>
        <w:t>“投资者代码”不填写，则默认为该居间人的所有投资者。</w:t>
      </w:r>
    </w:p>
    <w:p w14:paraId="6A3DA0C6">
      <w:pPr>
        <w:pStyle w:val="3"/>
      </w:pPr>
      <w:r>
        <w:drawing>
          <wp:inline distT="0" distB="0" distL="114300" distR="114300">
            <wp:extent cx="2609850" cy="1571625"/>
            <wp:effectExtent l="0" t="0" r="0" b="0"/>
            <wp:docPr id="209"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icture" descr="image.png"/>
                    <pic:cNvPicPr>
                      <a:picLocks noChangeAspect="1" noChangeArrowheads="1"/>
                    </pic:cNvPicPr>
                  </pic:nvPicPr>
                  <pic:blipFill>
                    <a:blip r:embed="rId57"/>
                    <a:stretch>
                      <a:fillRect/>
                    </a:stretch>
                  </pic:blipFill>
                  <pic:spPr>
                    <a:xfrm>
                      <a:off x="0" y="0"/>
                      <a:ext cx="2609999" cy="1571715"/>
                    </a:xfrm>
                    <a:prstGeom prst="rect">
                      <a:avLst/>
                    </a:prstGeom>
                    <a:noFill/>
                    <a:ln w="9525">
                      <a:noFill/>
                    </a:ln>
                  </pic:spPr>
                </pic:pic>
              </a:graphicData>
            </a:graphic>
          </wp:inline>
        </w:drawing>
      </w:r>
    </w:p>
    <w:p w14:paraId="367CF63F">
      <w:pPr>
        <w:pStyle w:val="3"/>
      </w:pPr>
      <w:r>
        <w:rPr>
          <w:rFonts w:hint="eastAsia"/>
        </w:rPr>
        <w:t>分段类型：默认三种，固定比例/分段定额/分段超额。</w:t>
      </w:r>
    </w:p>
    <w:p w14:paraId="1E63DA88">
      <w:pPr>
        <w:pStyle w:val="27"/>
        <w:numPr>
          <w:ilvl w:val="0"/>
          <w:numId w:val="2"/>
        </w:numPr>
      </w:pPr>
      <w:r>
        <w:rPr>
          <w:rFonts w:hint="eastAsia"/>
        </w:rPr>
        <w:t>分段定额是指，达到了某一个分段，则整体按照对应提成比例提成；</w:t>
      </w:r>
    </w:p>
    <w:p w14:paraId="74522198">
      <w:pPr>
        <w:pStyle w:val="27"/>
        <w:numPr>
          <w:ilvl w:val="0"/>
          <w:numId w:val="2"/>
        </w:numPr>
      </w:pPr>
      <w:r>
        <w:rPr>
          <w:rFonts w:hint="eastAsia"/>
        </w:rPr>
        <w:t>分段超额是指，达到了某一个分段，达到部分按照对应提成比例提成。（因此</w:t>
      </w:r>
      <w:r>
        <w:t xml:space="preserve"> </w:t>
      </w:r>
      <w:r>
        <w:rPr>
          <w:rFonts w:hint="eastAsia"/>
          <w:b/>
          <w:bCs/>
        </w:rPr>
        <w:t>分段超额必须适用于</w:t>
      </w:r>
      <w:r>
        <w:rPr>
          <w:b/>
          <w:bCs/>
        </w:rPr>
        <w:t xml:space="preserve"> </w:t>
      </w:r>
      <w:r>
        <w:rPr>
          <w:rFonts w:hint="eastAsia"/>
          <w:b/>
          <w:bCs/>
        </w:rPr>
        <w:t>分段基准-提成金额</w:t>
      </w:r>
      <w:r>
        <w:t xml:space="preserve"> </w:t>
      </w:r>
      <w:r>
        <w:rPr>
          <w:rFonts w:hint="eastAsia"/>
        </w:rPr>
        <w:t>即</w:t>
      </w:r>
      <w:r>
        <w:t xml:space="preserve"> </w:t>
      </w:r>
      <w:r>
        <w:rPr>
          <w:rFonts w:hint="eastAsia"/>
          <w:b/>
          <w:bCs/>
        </w:rPr>
        <w:t>提成类型</w:t>
      </w:r>
      <w:r>
        <w:t xml:space="preserve"> </w:t>
      </w:r>
      <w:r>
        <w:rPr>
          <w:rFonts w:hint="eastAsia"/>
        </w:rPr>
        <w:t>的场景）</w:t>
      </w:r>
    </w:p>
    <w:p w14:paraId="5A61DAFC">
      <w:pPr>
        <w:pStyle w:val="26"/>
      </w:pPr>
      <w:r>
        <w:drawing>
          <wp:inline distT="0" distB="0" distL="114300" distR="114300">
            <wp:extent cx="3131820" cy="2684145"/>
            <wp:effectExtent l="0" t="0" r="0" b="0"/>
            <wp:docPr id="212"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descr="image.png"/>
                    <pic:cNvPicPr>
                      <a:picLocks noChangeAspect="1" noChangeArrowheads="1"/>
                    </pic:cNvPicPr>
                  </pic:nvPicPr>
                  <pic:blipFill>
                    <a:blip r:embed="rId58"/>
                    <a:stretch>
                      <a:fillRect/>
                    </a:stretch>
                  </pic:blipFill>
                  <pic:spPr>
                    <a:xfrm>
                      <a:off x="0" y="0"/>
                      <a:ext cx="3131999" cy="2684571"/>
                    </a:xfrm>
                    <a:prstGeom prst="rect">
                      <a:avLst/>
                    </a:prstGeom>
                    <a:noFill/>
                    <a:ln w="9525">
                      <a:noFill/>
                    </a:ln>
                  </pic:spPr>
                </pic:pic>
              </a:graphicData>
            </a:graphic>
          </wp:inline>
        </w:drawing>
      </w:r>
    </w:p>
    <w:p w14:paraId="14F727D9">
      <w:pPr>
        <w:pStyle w:val="3"/>
      </w:pPr>
      <w:r>
        <w:rPr>
          <w:rFonts w:hint="eastAsia"/>
          <w:b/>
          <w:bCs/>
        </w:rPr>
        <w:t>分段基准：</w:t>
      </w:r>
      <w:r>
        <w:t xml:space="preserve"> </w:t>
      </w:r>
      <w:r>
        <w:rPr>
          <w:rFonts w:hint="eastAsia"/>
        </w:rPr>
        <w:t>常见的是根据留存手续费、成交手数等进行分段比例的计算。分段基准可以根据期货公司的业务要求调整。</w:t>
      </w:r>
    </w:p>
    <w:p w14:paraId="27AEE687">
      <w:pPr>
        <w:pStyle w:val="3"/>
      </w:pPr>
      <w:r>
        <w:drawing>
          <wp:inline distT="0" distB="0" distL="114300" distR="114300">
            <wp:extent cx="3750945" cy="3150870"/>
            <wp:effectExtent l="0" t="0" r="0" b="0"/>
            <wp:docPr id="215"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descr="image.png"/>
                    <pic:cNvPicPr>
                      <a:picLocks noChangeAspect="1" noChangeArrowheads="1"/>
                    </pic:cNvPicPr>
                  </pic:nvPicPr>
                  <pic:blipFill>
                    <a:blip r:embed="rId59"/>
                    <a:stretch>
                      <a:fillRect/>
                    </a:stretch>
                  </pic:blipFill>
                  <pic:spPr>
                    <a:xfrm>
                      <a:off x="0" y="0"/>
                      <a:ext cx="3751199" cy="3151388"/>
                    </a:xfrm>
                    <a:prstGeom prst="rect">
                      <a:avLst/>
                    </a:prstGeom>
                    <a:noFill/>
                    <a:ln w="9525">
                      <a:noFill/>
                    </a:ln>
                  </pic:spPr>
                </pic:pic>
              </a:graphicData>
            </a:graphic>
          </wp:inline>
        </w:drawing>
      </w:r>
    </w:p>
    <w:p w14:paraId="76CF08CE">
      <w:pPr>
        <w:pStyle w:val="3"/>
      </w:pPr>
      <w:r>
        <w:rPr>
          <w:rFonts w:hint="eastAsia"/>
          <w:b/>
          <w:bCs/>
        </w:rPr>
        <w:t>提成类型：</w:t>
      </w:r>
      <w:r>
        <w:t xml:space="preserve"> </w:t>
      </w:r>
      <w:r>
        <w:rPr>
          <w:rFonts w:hint="eastAsia"/>
        </w:rPr>
        <w:t>即要提成的金额。</w:t>
      </w:r>
    </w:p>
    <w:p w14:paraId="3CDC4C71">
      <w:pPr>
        <w:pStyle w:val="3"/>
      </w:pPr>
      <w:r>
        <w:drawing>
          <wp:inline distT="0" distB="0" distL="114300" distR="114300">
            <wp:extent cx="3056255" cy="666115"/>
            <wp:effectExtent l="0" t="0" r="0" b="0"/>
            <wp:docPr id="218"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descr="image.png"/>
                    <pic:cNvPicPr>
                      <a:picLocks noChangeAspect="1" noChangeArrowheads="1"/>
                    </pic:cNvPicPr>
                  </pic:nvPicPr>
                  <pic:blipFill>
                    <a:blip r:embed="rId60"/>
                    <a:stretch>
                      <a:fillRect/>
                    </a:stretch>
                  </pic:blipFill>
                  <pic:spPr>
                    <a:xfrm>
                      <a:off x="0" y="0"/>
                      <a:ext cx="3056399" cy="666504"/>
                    </a:xfrm>
                    <a:prstGeom prst="rect">
                      <a:avLst/>
                    </a:prstGeom>
                    <a:noFill/>
                    <a:ln w="9525">
                      <a:noFill/>
                    </a:ln>
                  </pic:spPr>
                </pic:pic>
              </a:graphicData>
            </a:graphic>
          </wp:inline>
        </w:drawing>
      </w:r>
    </w:p>
    <w:p w14:paraId="665A4FAC">
      <w:pPr>
        <w:pStyle w:val="3"/>
      </w:pPr>
      <w:r>
        <w:rPr>
          <w:rFonts w:hint="eastAsia"/>
          <w:b/>
          <w:bCs/>
        </w:rPr>
        <w:t>固定提成比例：</w:t>
      </w:r>
      <w:r>
        <w:t xml:space="preserve"> </w:t>
      </w:r>
      <w:r>
        <w:rPr>
          <w:rFonts w:hint="eastAsia"/>
        </w:rPr>
        <w:t>当”分段类型”选择”固定比例”时，该数据有效。</w:t>
      </w:r>
    </w:p>
    <w:p w14:paraId="662F51A6">
      <w:pPr>
        <w:pStyle w:val="3"/>
      </w:pPr>
      <w:r>
        <w:rPr>
          <w:rFonts w:hint="eastAsia"/>
          <w:b/>
          <w:bCs/>
        </w:rPr>
        <w:t>分段比例设置部分</w:t>
      </w:r>
      <w:r>
        <w:rPr>
          <w:rFonts w:hint="eastAsia"/>
        </w:rPr>
        <w:t>，当分段类型选择分段定额/分段超额时有效。</w:t>
      </w:r>
    </w:p>
    <w:p w14:paraId="0906D5BB">
      <w:pPr>
        <w:pStyle w:val="3"/>
      </w:pPr>
      <w:r>
        <w:rPr>
          <w:rFonts w:hint="eastAsia"/>
        </w:rPr>
        <w:t>举例如下：</w:t>
      </w:r>
    </w:p>
    <w:p w14:paraId="70802635">
      <w:pPr>
        <w:pStyle w:val="3"/>
      </w:pPr>
      <w:r>
        <w:rPr>
          <w:b/>
          <w:bCs/>
        </w:rPr>
        <w:t xml:space="preserve">① </w:t>
      </w:r>
      <w:r>
        <w:rPr>
          <w:rFonts w:hint="eastAsia"/>
          <w:b/>
          <w:bCs/>
        </w:rPr>
        <w:t>分段定额</w:t>
      </w:r>
    </w:p>
    <w:p w14:paraId="7C5B6A9D">
      <w:pPr>
        <w:pStyle w:val="3"/>
      </w:pPr>
      <w:r>
        <w:rPr>
          <w:rFonts w:hint="eastAsia"/>
        </w:rPr>
        <w:t>假设选择分段基准为成交手数，提成类型为总手续费X</w:t>
      </w:r>
    </w:p>
    <w:p w14:paraId="1C9C1B55">
      <w:pPr>
        <w:pStyle w:val="3"/>
      </w:pPr>
      <w:r>
        <w:drawing>
          <wp:inline distT="0" distB="0" distL="114300" distR="114300">
            <wp:extent cx="2627630" cy="1532890"/>
            <wp:effectExtent l="0" t="0" r="0" b="0"/>
            <wp:docPr id="221"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descr="image.png"/>
                    <pic:cNvPicPr>
                      <a:picLocks noChangeAspect="1" noChangeArrowheads="1"/>
                    </pic:cNvPicPr>
                  </pic:nvPicPr>
                  <pic:blipFill>
                    <a:blip r:embed="rId61"/>
                    <a:stretch>
                      <a:fillRect/>
                    </a:stretch>
                  </pic:blipFill>
                  <pic:spPr>
                    <a:xfrm>
                      <a:off x="0" y="0"/>
                      <a:ext cx="2627999" cy="1532999"/>
                    </a:xfrm>
                    <a:prstGeom prst="rect">
                      <a:avLst/>
                    </a:prstGeom>
                    <a:noFill/>
                    <a:ln w="9525">
                      <a:noFill/>
                    </a:ln>
                  </pic:spPr>
                </pic:pic>
              </a:graphicData>
            </a:graphic>
          </wp:inline>
        </w:drawing>
      </w:r>
    </w:p>
    <w:p w14:paraId="4F2A7C36">
      <w:pPr>
        <w:pStyle w:val="3"/>
      </w:pPr>
      <w:r>
        <w:rPr>
          <w:rFonts w:hint="eastAsia"/>
        </w:rPr>
        <w:t>分段提成设置如下：</w:t>
      </w:r>
    </w:p>
    <w:p w14:paraId="4C4F51B3">
      <w:pPr>
        <w:pStyle w:val="3"/>
      </w:pPr>
      <w:r>
        <w:drawing>
          <wp:inline distT="0" distB="0" distL="114300" distR="114300">
            <wp:extent cx="5334000" cy="1289050"/>
            <wp:effectExtent l="0" t="0" r="0" b="0"/>
            <wp:docPr id="224"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Picture" descr="image.png"/>
                    <pic:cNvPicPr>
                      <a:picLocks noChangeAspect="1" noChangeArrowheads="1"/>
                    </pic:cNvPicPr>
                  </pic:nvPicPr>
                  <pic:blipFill>
                    <a:blip r:embed="rId62"/>
                    <a:stretch>
                      <a:fillRect/>
                    </a:stretch>
                  </pic:blipFill>
                  <pic:spPr>
                    <a:xfrm>
                      <a:off x="0" y="0"/>
                      <a:ext cx="5334000" cy="1289148"/>
                    </a:xfrm>
                    <a:prstGeom prst="rect">
                      <a:avLst/>
                    </a:prstGeom>
                    <a:noFill/>
                    <a:ln w="9525">
                      <a:noFill/>
                    </a:ln>
                  </pic:spPr>
                </pic:pic>
              </a:graphicData>
            </a:graphic>
          </wp:inline>
        </w:drawing>
      </w:r>
    </w:p>
    <w:p w14:paraId="0FDAA7DE">
      <w:pPr>
        <w:pStyle w:val="3"/>
      </w:pPr>
      <w:r>
        <w:rPr>
          <w:rFonts w:hint="eastAsia"/>
        </w:rPr>
        <w:t>则表示：</w:t>
      </w:r>
    </w:p>
    <w:p w14:paraId="393C854C">
      <w:pPr>
        <w:pStyle w:val="27"/>
        <w:numPr>
          <w:ilvl w:val="0"/>
          <w:numId w:val="2"/>
        </w:numPr>
      </w:pPr>
      <w:r>
        <w:rPr>
          <w:rFonts w:hint="eastAsia"/>
        </w:rPr>
        <w:t>0&lt;成交手数&lt;-100，返还比例为0</w:t>
      </w:r>
    </w:p>
    <w:p w14:paraId="1A93BD11">
      <w:pPr>
        <w:pStyle w:val="27"/>
        <w:numPr>
          <w:ilvl w:val="0"/>
          <w:numId w:val="2"/>
        </w:numPr>
      </w:pPr>
      <w:r>
        <w:rPr>
          <w:rFonts w:hint="eastAsia"/>
        </w:rPr>
        <w:t>100&lt;成交手数&lt;-200，将返还X*0.5给该居间人</w:t>
      </w:r>
    </w:p>
    <w:p w14:paraId="6E6C34D7">
      <w:pPr>
        <w:pStyle w:val="27"/>
        <w:numPr>
          <w:ilvl w:val="0"/>
          <w:numId w:val="2"/>
        </w:numPr>
      </w:pPr>
      <w:r>
        <w:rPr>
          <w:rFonts w:hint="eastAsia"/>
        </w:rPr>
        <w:t>200&lt;成交手数，将返还X*0.8给该居间人</w:t>
      </w:r>
    </w:p>
    <w:p w14:paraId="4644221B">
      <w:pPr>
        <w:pStyle w:val="13"/>
      </w:pPr>
      <w:r>
        <w:rPr>
          <w:rFonts w:hint="eastAsia"/>
          <w:b/>
          <w:bCs/>
        </w:rPr>
        <w:t>提示</w:t>
      </w:r>
    </w:p>
    <w:p w14:paraId="073E7F8A">
      <w:pPr>
        <w:pStyle w:val="13"/>
      </w:pPr>
      <w:r>
        <w:rPr>
          <w:rFonts w:hint="eastAsia"/>
        </w:rPr>
        <w:t>下限一般从零开始（即分段金额0</w:t>
      </w:r>
      <w:r>
        <w:t xml:space="preserve"> </w:t>
      </w:r>
      <w:r>
        <w:rPr>
          <w:rFonts w:hint="eastAsia"/>
        </w:rPr>
        <w:t>填</w:t>
      </w:r>
      <w:r>
        <w:t xml:space="preserve"> </w:t>
      </w:r>
      <w:r>
        <w:rPr>
          <w:rFonts w:hint="eastAsia"/>
        </w:rPr>
        <w:t>0），上限必须要填（最大不超过</w:t>
      </w:r>
      <w:r>
        <w:t xml:space="preserve"> </w:t>
      </w:r>
      <w:r>
        <w:rPr>
          <w:rFonts w:hint="eastAsia"/>
        </w:rPr>
        <w:t>999,999,999,999）</w:t>
      </w:r>
    </w:p>
    <w:p w14:paraId="2417D212">
      <w:pPr>
        <w:pStyle w:val="26"/>
      </w:pPr>
      <w:r>
        <w:rPr>
          <w:b/>
          <w:bCs/>
        </w:rPr>
        <w:t xml:space="preserve">② </w:t>
      </w:r>
      <w:r>
        <w:rPr>
          <w:rFonts w:hint="eastAsia"/>
          <w:b/>
          <w:bCs/>
        </w:rPr>
        <w:t>分段超额</w:t>
      </w:r>
    </w:p>
    <w:p w14:paraId="0F8798D2">
      <w:pPr>
        <w:pStyle w:val="3"/>
      </w:pPr>
      <w:r>
        <w:rPr>
          <w:rFonts w:hint="eastAsia"/>
        </w:rPr>
        <w:t>假设选择</w:t>
      </w:r>
      <w:r>
        <w:t xml:space="preserve"> </w:t>
      </w:r>
      <w:r>
        <w:rPr>
          <w:rFonts w:hint="eastAsia"/>
        </w:rPr>
        <w:t>分段基准</w:t>
      </w:r>
      <w:r>
        <w:t xml:space="preserve"> </w:t>
      </w:r>
      <w:r>
        <w:rPr>
          <w:rFonts w:hint="eastAsia"/>
        </w:rPr>
        <w:t>为</w:t>
      </w:r>
      <w:r>
        <w:t xml:space="preserve"> </w:t>
      </w:r>
      <w:r>
        <w:rPr>
          <w:rFonts w:hint="eastAsia"/>
        </w:rPr>
        <w:t>留存手续费，提成类型为</w:t>
      </w:r>
      <w:r>
        <w:t xml:space="preserve"> </w:t>
      </w:r>
      <w:r>
        <w:rPr>
          <w:rFonts w:hint="eastAsia"/>
        </w:rPr>
        <w:t>留存手续费X</w:t>
      </w:r>
    </w:p>
    <w:p w14:paraId="3A5762D1">
      <w:pPr>
        <w:pStyle w:val="3"/>
      </w:pPr>
      <w:r>
        <w:drawing>
          <wp:inline distT="0" distB="0" distL="114300" distR="114300">
            <wp:extent cx="2620645" cy="1572260"/>
            <wp:effectExtent l="0" t="0" r="0" b="0"/>
            <wp:docPr id="227"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descr="image.png"/>
                    <pic:cNvPicPr>
                      <a:picLocks noChangeAspect="1" noChangeArrowheads="1"/>
                    </pic:cNvPicPr>
                  </pic:nvPicPr>
                  <pic:blipFill>
                    <a:blip r:embed="rId63"/>
                    <a:stretch>
                      <a:fillRect/>
                    </a:stretch>
                  </pic:blipFill>
                  <pic:spPr>
                    <a:xfrm>
                      <a:off x="0" y="0"/>
                      <a:ext cx="2620799" cy="1572479"/>
                    </a:xfrm>
                    <a:prstGeom prst="rect">
                      <a:avLst/>
                    </a:prstGeom>
                    <a:noFill/>
                    <a:ln w="9525">
                      <a:noFill/>
                    </a:ln>
                  </pic:spPr>
                </pic:pic>
              </a:graphicData>
            </a:graphic>
          </wp:inline>
        </w:drawing>
      </w:r>
    </w:p>
    <w:p w14:paraId="35FA4819">
      <w:pPr>
        <w:pStyle w:val="3"/>
      </w:pPr>
      <w:r>
        <w:rPr>
          <w:rFonts w:hint="eastAsia"/>
        </w:rPr>
        <w:t>分段提成设置如下：</w:t>
      </w:r>
    </w:p>
    <w:p w14:paraId="552DC468">
      <w:pPr>
        <w:pStyle w:val="3"/>
      </w:pPr>
      <w:r>
        <w:drawing>
          <wp:inline distT="0" distB="0" distL="114300" distR="114300">
            <wp:extent cx="5334000" cy="1289050"/>
            <wp:effectExtent l="0" t="0" r="0" b="0"/>
            <wp:docPr id="230"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descr="image.png"/>
                    <pic:cNvPicPr>
                      <a:picLocks noChangeAspect="1" noChangeArrowheads="1"/>
                    </pic:cNvPicPr>
                  </pic:nvPicPr>
                  <pic:blipFill>
                    <a:blip r:embed="rId62"/>
                    <a:stretch>
                      <a:fillRect/>
                    </a:stretch>
                  </pic:blipFill>
                  <pic:spPr>
                    <a:xfrm>
                      <a:off x="0" y="0"/>
                      <a:ext cx="5334000" cy="1289148"/>
                    </a:xfrm>
                    <a:prstGeom prst="rect">
                      <a:avLst/>
                    </a:prstGeom>
                    <a:noFill/>
                    <a:ln w="9525">
                      <a:noFill/>
                    </a:ln>
                  </pic:spPr>
                </pic:pic>
              </a:graphicData>
            </a:graphic>
          </wp:inline>
        </w:drawing>
      </w:r>
    </w:p>
    <w:p w14:paraId="6C3C0ED3">
      <w:pPr>
        <w:pStyle w:val="3"/>
      </w:pPr>
      <w:r>
        <w:rPr>
          <w:rFonts w:hint="eastAsia"/>
        </w:rPr>
        <w:t>则表示：</w:t>
      </w:r>
    </w:p>
    <w:p w14:paraId="6804678C">
      <w:pPr>
        <w:pStyle w:val="27"/>
        <w:numPr>
          <w:ilvl w:val="0"/>
          <w:numId w:val="2"/>
        </w:numPr>
      </w:pPr>
      <w:r>
        <w:rPr>
          <w:rFonts w:hint="eastAsia"/>
        </w:rPr>
        <w:t>0&lt;留存手续费&lt;-100，返还比例为0</w:t>
      </w:r>
    </w:p>
    <w:p w14:paraId="23341A2E">
      <w:pPr>
        <w:pStyle w:val="27"/>
        <w:numPr>
          <w:ilvl w:val="0"/>
          <w:numId w:val="2"/>
        </w:numPr>
      </w:pPr>
      <w:r>
        <w:rPr>
          <w:rFonts w:hint="eastAsia"/>
        </w:rPr>
        <w:t>100&lt;留存手续费&lt;-200，将返还（X-100）*0.5给该居间人</w:t>
      </w:r>
    </w:p>
    <w:p w14:paraId="314BC338">
      <w:pPr>
        <w:pStyle w:val="27"/>
        <w:numPr>
          <w:ilvl w:val="0"/>
          <w:numId w:val="2"/>
        </w:numPr>
      </w:pPr>
      <w:r>
        <w:rPr>
          <w:rFonts w:hint="eastAsia"/>
        </w:rPr>
        <w:t>200&lt;留存手续费，将返还{（200-100）*0.5|（X-200）*0.8}给该居间人</w:t>
      </w:r>
    </w:p>
    <w:p w14:paraId="3122FE87">
      <w:pPr>
        <w:pStyle w:val="13"/>
      </w:pPr>
      <w:r>
        <w:rPr>
          <w:rFonts w:hint="eastAsia"/>
          <w:b/>
          <w:bCs/>
        </w:rPr>
        <w:t>提示</w:t>
      </w:r>
    </w:p>
    <w:p w14:paraId="23C75131">
      <w:pPr>
        <w:pStyle w:val="13"/>
      </w:pPr>
      <w:r>
        <w:rPr>
          <w:rFonts w:hint="eastAsia"/>
        </w:rPr>
        <w:t>下限一般从零开始（即分段金额0</w:t>
      </w:r>
      <w:r>
        <w:t xml:space="preserve"> </w:t>
      </w:r>
      <w:r>
        <w:rPr>
          <w:rFonts w:hint="eastAsia"/>
        </w:rPr>
        <w:t>填</w:t>
      </w:r>
      <w:r>
        <w:t xml:space="preserve"> </w:t>
      </w:r>
      <w:r>
        <w:rPr>
          <w:rFonts w:hint="eastAsia"/>
        </w:rPr>
        <w:t>0），上限必须要填（最大不超过</w:t>
      </w:r>
      <w:r>
        <w:t xml:space="preserve"> </w:t>
      </w:r>
      <w:r>
        <w:rPr>
          <w:rFonts w:hint="eastAsia"/>
        </w:rPr>
        <w:t>999,999,999,999）</w:t>
      </w:r>
    </w:p>
    <w:p w14:paraId="338EB754">
      <w:pPr>
        <w:pStyle w:val="26"/>
      </w:pPr>
      <w:r>
        <w:fldChar w:fldCharType="begin"/>
      </w:r>
      <w:r>
        <w:instrText xml:space="preserve"> HYPERLINK "/videos/居间业绩公式维护.mp4" \h </w:instrText>
      </w:r>
      <w:r>
        <w:fldChar w:fldCharType="separate"/>
      </w:r>
      <w:r>
        <w:rPr>
          <w:rStyle w:val="23"/>
          <w:rFonts w:hint="eastAsia"/>
        </w:rPr>
        <w:t>居间业绩公式维护.mp4</w:t>
      </w:r>
      <w:r>
        <w:rPr>
          <w:rStyle w:val="23"/>
          <w:rFonts w:hint="eastAsia"/>
        </w:rPr>
        <w:fldChar w:fldCharType="end"/>
      </w:r>
    </w:p>
    <w:p w14:paraId="5AFD3EE1">
      <w:pPr>
        <w:pStyle w:val="3"/>
      </w:pPr>
      <w:r>
        <w:rPr>
          <w:b/>
          <w:bCs/>
        </w:rPr>
        <w:t xml:space="preserve">3.2.2. </w:t>
      </w:r>
      <w:r>
        <w:rPr>
          <w:rFonts w:hint="eastAsia"/>
          <w:b/>
          <w:bCs/>
        </w:rPr>
        <w:t>修改</w:t>
      </w:r>
    </w:p>
    <w:p w14:paraId="75D108DB">
      <w:pPr>
        <w:pStyle w:val="3"/>
      </w:pPr>
      <w:r>
        <w:rPr>
          <w:rFonts w:hint="eastAsia"/>
        </w:rPr>
        <w:t>已经审批通过的居间业绩公式，只能修改具体的提成比例，如下图所示</w:t>
      </w:r>
    </w:p>
    <w:p w14:paraId="7677C244">
      <w:pPr>
        <w:pStyle w:val="3"/>
      </w:pPr>
      <w:r>
        <w:drawing>
          <wp:inline distT="0" distB="0" distL="114300" distR="114300">
            <wp:extent cx="5334000" cy="3469005"/>
            <wp:effectExtent l="0" t="0" r="0" b="0"/>
            <wp:docPr id="234"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descr="image.png"/>
                    <pic:cNvPicPr>
                      <a:picLocks noChangeAspect="1" noChangeArrowheads="1"/>
                    </pic:cNvPicPr>
                  </pic:nvPicPr>
                  <pic:blipFill>
                    <a:blip r:embed="rId64"/>
                    <a:stretch>
                      <a:fillRect/>
                    </a:stretch>
                  </pic:blipFill>
                  <pic:spPr>
                    <a:xfrm>
                      <a:off x="0" y="0"/>
                      <a:ext cx="5334000" cy="3469639"/>
                    </a:xfrm>
                    <a:prstGeom prst="rect">
                      <a:avLst/>
                    </a:prstGeom>
                    <a:noFill/>
                    <a:ln w="9525">
                      <a:noFill/>
                    </a:ln>
                  </pic:spPr>
                </pic:pic>
              </a:graphicData>
            </a:graphic>
          </wp:inline>
        </w:drawing>
      </w:r>
    </w:p>
    <w:p w14:paraId="713E9262">
      <w:pPr>
        <w:pStyle w:val="3"/>
      </w:pPr>
      <w:r>
        <w:rPr>
          <w:rFonts w:hint="eastAsia"/>
        </w:rPr>
        <w:t>一般情况下主键不能修改(特殊情况下需要修改主键的话，可以联系技术人员设置)</w:t>
      </w:r>
    </w:p>
    <w:p w14:paraId="0627E70A">
      <w:pPr>
        <w:pStyle w:val="3"/>
      </w:pPr>
      <w:r>
        <w:rPr>
          <w:b/>
          <w:bCs/>
        </w:rPr>
        <w:t xml:space="preserve">3.2.3. </w:t>
      </w:r>
      <w:r>
        <w:rPr>
          <w:rFonts w:hint="eastAsia"/>
          <w:b/>
          <w:bCs/>
        </w:rPr>
        <w:t>批量修改</w:t>
      </w:r>
    </w:p>
    <w:p w14:paraId="79A56994">
      <w:pPr>
        <w:pStyle w:val="3"/>
      </w:pPr>
      <w:r>
        <w:rPr>
          <w:rFonts w:hint="eastAsia"/>
        </w:rPr>
        <w:t>勾选多条记录，点击批量修改</w:t>
      </w:r>
    </w:p>
    <w:p w14:paraId="1F03A5BF">
      <w:pPr>
        <w:pStyle w:val="3"/>
      </w:pPr>
      <w:r>
        <w:drawing>
          <wp:inline distT="0" distB="0" distL="114300" distR="114300">
            <wp:extent cx="5334000" cy="2637155"/>
            <wp:effectExtent l="0" t="0" r="0" b="0"/>
            <wp:docPr id="237"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descr="image.png"/>
                    <pic:cNvPicPr>
                      <a:picLocks noChangeAspect="1" noChangeArrowheads="1"/>
                    </pic:cNvPicPr>
                  </pic:nvPicPr>
                  <pic:blipFill>
                    <a:blip r:embed="rId65"/>
                    <a:stretch>
                      <a:fillRect/>
                    </a:stretch>
                  </pic:blipFill>
                  <pic:spPr>
                    <a:xfrm>
                      <a:off x="0" y="0"/>
                      <a:ext cx="5334000" cy="2637692"/>
                    </a:xfrm>
                    <a:prstGeom prst="rect">
                      <a:avLst/>
                    </a:prstGeom>
                    <a:noFill/>
                    <a:ln w="9525">
                      <a:noFill/>
                    </a:ln>
                  </pic:spPr>
                </pic:pic>
              </a:graphicData>
            </a:graphic>
          </wp:inline>
        </w:drawing>
      </w:r>
    </w:p>
    <w:p w14:paraId="56CEBB40">
      <w:pPr>
        <w:pStyle w:val="3"/>
      </w:pPr>
      <w:r>
        <w:rPr>
          <w:rFonts w:hint="eastAsia"/>
        </w:rPr>
        <w:t>勾选需要批量修改的字段，输入最新信息后点击保存，则提交审批。</w:t>
      </w:r>
    </w:p>
    <w:p w14:paraId="1457E966">
      <w:pPr>
        <w:pStyle w:val="3"/>
      </w:pPr>
      <w:r>
        <w:drawing>
          <wp:inline distT="0" distB="0" distL="114300" distR="114300">
            <wp:extent cx="5334000" cy="2386965"/>
            <wp:effectExtent l="0" t="0" r="0" b="0"/>
            <wp:docPr id="240"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descr="image.png"/>
                    <pic:cNvPicPr>
                      <a:picLocks noChangeAspect="1" noChangeArrowheads="1"/>
                    </pic:cNvPicPr>
                  </pic:nvPicPr>
                  <pic:blipFill>
                    <a:blip r:embed="rId66"/>
                    <a:stretch>
                      <a:fillRect/>
                    </a:stretch>
                  </pic:blipFill>
                  <pic:spPr>
                    <a:xfrm>
                      <a:off x="0" y="0"/>
                      <a:ext cx="5334000" cy="2387321"/>
                    </a:xfrm>
                    <a:prstGeom prst="rect">
                      <a:avLst/>
                    </a:prstGeom>
                    <a:noFill/>
                    <a:ln w="9525">
                      <a:noFill/>
                    </a:ln>
                  </pic:spPr>
                </pic:pic>
              </a:graphicData>
            </a:graphic>
          </wp:inline>
        </w:drawing>
      </w:r>
    </w:p>
    <w:p w14:paraId="2A7E8F5B">
      <w:pPr>
        <w:pStyle w:val="3"/>
      </w:pPr>
      <w:r>
        <w:rPr>
          <w:rFonts w:hint="eastAsia"/>
        </w:rPr>
        <w:t>居间业绩公式审核、删除复核，与居间业绩关系模块类似，不再赘述。</w:t>
      </w:r>
    </w:p>
    <w:bookmarkEnd w:id="43"/>
    <w:p w14:paraId="7EA81A8C">
      <w:pPr>
        <w:pStyle w:val="6"/>
      </w:pPr>
      <w:bookmarkStart w:id="44" w:name="居间业绩公式批量导入"/>
      <w:r>
        <w:t xml:space="preserve">3.3. </w:t>
      </w:r>
      <w:r>
        <w:rPr>
          <w:rFonts w:hint="eastAsia"/>
        </w:rPr>
        <w:t>居间业绩公式批量导入</w:t>
      </w:r>
    </w:p>
    <w:p w14:paraId="7A6DFD1E">
      <w:pPr>
        <w:pStyle w:val="26"/>
      </w:pPr>
      <w:r>
        <w:rPr>
          <w:rFonts w:hint="eastAsia"/>
        </w:rPr>
        <w:t>操作逻辑与居间业绩关系批量导入类似。</w:t>
      </w:r>
    </w:p>
    <w:p w14:paraId="1D2504E4">
      <w:pPr>
        <w:pStyle w:val="3"/>
      </w:pPr>
      <w:r>
        <w:rPr>
          <w:rFonts w:hint="eastAsia"/>
        </w:rPr>
        <w:t>首先，点击下载模板，根据实际数据及码表，填写需导入的数据。</w:t>
      </w:r>
    </w:p>
    <w:p w14:paraId="4D3B1577">
      <w:pPr>
        <w:pStyle w:val="3"/>
      </w:pPr>
      <w:r>
        <w:rPr>
          <w:rFonts w:hint="eastAsia"/>
        </w:rPr>
        <w:t>然后，点击导入，针对已导入的内容，选择多条点击新增（针对新录入的业绩公式）或者更新（针对已经存在的业绩公式，可以选择部分字段进行更新）。</w:t>
      </w:r>
    </w:p>
    <w:p w14:paraId="0C1BBB6B">
      <w:pPr>
        <w:pStyle w:val="3"/>
      </w:pPr>
      <w:r>
        <w:rPr>
          <w:rFonts w:hint="eastAsia"/>
          <w:b/>
          <w:bCs/>
        </w:rPr>
        <w:t>注意：直接从查询列表内导出的数据，可能无法批量导入</w:t>
      </w:r>
      <w:r>
        <w:rPr>
          <w:rFonts w:hint="eastAsia"/>
        </w:rPr>
        <w:t>，因为，查询列表内的字段可能并不全（因为用户可以在页面设置中设置哪些字段在列表内显示/不显示）。同时，居间业绩公式中的分段公式，为了方便显示，在查询列表内将分段金额与提成比例合并显示，如下图所示。</w:t>
      </w:r>
      <w:r>
        <w:rPr>
          <w:rFonts w:hint="eastAsia"/>
          <w:b/>
          <w:bCs/>
        </w:rPr>
        <w:t>因此，请勿直接将导出的数据批量导入，建议下载模板并对应填写数据后再批量导入</w:t>
      </w:r>
      <w:r>
        <w:t>。</w:t>
      </w:r>
    </w:p>
    <w:p w14:paraId="7089AACF">
      <w:pPr>
        <w:pStyle w:val="3"/>
      </w:pPr>
      <w:r>
        <w:drawing>
          <wp:inline distT="0" distB="0" distL="114300" distR="114300">
            <wp:extent cx="5334000" cy="1694180"/>
            <wp:effectExtent l="0" t="0" r="0" b="0"/>
            <wp:docPr id="244"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descr="image.png"/>
                    <pic:cNvPicPr>
                      <a:picLocks noChangeAspect="1" noChangeArrowheads="1"/>
                    </pic:cNvPicPr>
                  </pic:nvPicPr>
                  <pic:blipFill>
                    <a:blip r:embed="rId67"/>
                    <a:stretch>
                      <a:fillRect/>
                    </a:stretch>
                  </pic:blipFill>
                  <pic:spPr>
                    <a:xfrm>
                      <a:off x="0" y="0"/>
                      <a:ext cx="5334000" cy="1694604"/>
                    </a:xfrm>
                    <a:prstGeom prst="rect">
                      <a:avLst/>
                    </a:prstGeom>
                    <a:noFill/>
                    <a:ln w="9525">
                      <a:noFill/>
                    </a:ln>
                  </pic:spPr>
                </pic:pic>
              </a:graphicData>
            </a:graphic>
          </wp:inline>
        </w:drawing>
      </w:r>
    </w:p>
    <w:p w14:paraId="64EEADCA">
      <w:pPr>
        <w:pStyle w:val="3"/>
      </w:pPr>
      <w:r>
        <w:rPr>
          <w:rFonts w:hint="eastAsia"/>
        </w:rPr>
        <w:t>系统操作与【2.5</w:t>
      </w:r>
      <w:r>
        <w:t xml:space="preserve"> </w:t>
      </w:r>
      <w:r>
        <w:rPr>
          <w:rFonts w:hint="eastAsia"/>
        </w:rPr>
        <w:t>居间业绩关系批量导入】类似。</w:t>
      </w:r>
    </w:p>
    <w:bookmarkEnd w:id="41"/>
    <w:bookmarkEnd w:id="44"/>
    <w:p w14:paraId="27AE8152">
      <w:pPr>
        <w:pStyle w:val="5"/>
      </w:pPr>
      <w:bookmarkStart w:id="45" w:name="_Toc12817"/>
      <w:bookmarkStart w:id="46" w:name="业绩报表"/>
      <w:r>
        <w:t xml:space="preserve">4. </w:t>
      </w:r>
      <w:r>
        <w:rPr>
          <w:rFonts w:hint="eastAsia"/>
        </w:rPr>
        <w:t>业绩报表</w:t>
      </w:r>
      <w:bookmarkEnd w:id="45"/>
    </w:p>
    <w:p w14:paraId="119F7722">
      <w:pPr>
        <w:pStyle w:val="6"/>
      </w:pPr>
      <w:bookmarkStart w:id="47" w:name="居间人月度业绩报表"/>
      <w:r>
        <w:t xml:space="preserve">4.1. </w:t>
      </w:r>
      <w:r>
        <w:rPr>
          <w:rFonts w:hint="eastAsia"/>
        </w:rPr>
        <w:t>居间人月度业绩报表</w:t>
      </w:r>
    </w:p>
    <w:p w14:paraId="7E3FF71D">
      <w:pPr>
        <w:pStyle w:val="26"/>
      </w:pPr>
      <w:r>
        <w:drawing>
          <wp:inline distT="0" distB="0" distL="114300" distR="114300">
            <wp:extent cx="5334000" cy="2422525"/>
            <wp:effectExtent l="0" t="0" r="0" b="0"/>
            <wp:docPr id="249"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Picture" descr="image.png"/>
                    <pic:cNvPicPr>
                      <a:picLocks noChangeAspect="1" noChangeArrowheads="1"/>
                    </pic:cNvPicPr>
                  </pic:nvPicPr>
                  <pic:blipFill>
                    <a:blip r:embed="rId68"/>
                    <a:stretch>
                      <a:fillRect/>
                    </a:stretch>
                  </pic:blipFill>
                  <pic:spPr>
                    <a:xfrm>
                      <a:off x="0" y="0"/>
                      <a:ext cx="5334000" cy="2422792"/>
                    </a:xfrm>
                    <a:prstGeom prst="rect">
                      <a:avLst/>
                    </a:prstGeom>
                    <a:noFill/>
                    <a:ln w="9525">
                      <a:noFill/>
                    </a:ln>
                  </pic:spPr>
                </pic:pic>
              </a:graphicData>
            </a:graphic>
          </wp:inline>
        </w:drawing>
      </w:r>
    </w:p>
    <w:p w14:paraId="675B73E1">
      <w:pPr>
        <w:pStyle w:val="3"/>
      </w:pPr>
      <w:r>
        <w:rPr>
          <w:rFonts w:hint="eastAsia"/>
        </w:rPr>
        <w:t>该报表的表头（展示的字段列），会因各家公司业务人员考核办法需要和使用习惯的差异而有所不同。</w:t>
      </w:r>
    </w:p>
    <w:bookmarkEnd w:id="46"/>
    <w:bookmarkEnd w:id="47"/>
    <w:p w14:paraId="12D1AD63">
      <w:pPr>
        <w:pStyle w:val="5"/>
      </w:pPr>
      <w:bookmarkStart w:id="48" w:name="_Toc20131"/>
      <w:bookmarkStart w:id="49" w:name="防范利益冲突筛查"/>
      <w:r>
        <w:t xml:space="preserve">5. </w:t>
      </w:r>
      <w:r>
        <w:rPr>
          <w:rFonts w:hint="eastAsia"/>
        </w:rPr>
        <w:t>防范利益冲突筛查</w:t>
      </w:r>
      <w:bookmarkEnd w:id="48"/>
    </w:p>
    <w:p w14:paraId="33439866">
      <w:pPr>
        <w:pStyle w:val="26"/>
      </w:pPr>
      <w:r>
        <w:rPr>
          <w:rFonts w:hint="eastAsia"/>
        </w:rPr>
        <w:t>利益冲突筛查，包含两部分业务数据</w:t>
      </w:r>
      <w:r>
        <w:t xml:space="preserve"> | </w:t>
      </w:r>
      <w:r>
        <w:rPr>
          <w:rFonts w:hint="eastAsia"/>
        </w:rPr>
        <w:t>两套筛查逻辑：</w:t>
      </w:r>
    </w:p>
    <w:p w14:paraId="7DDE643B">
      <w:pPr>
        <w:pStyle w:val="3"/>
      </w:pPr>
      <w:r>
        <w:rPr>
          <w:rFonts w:hint="eastAsia"/>
        </w:rPr>
        <w:t>新增，修改时会在</w:t>
      </w:r>
      <w:r>
        <w:t xml:space="preserve"> </w:t>
      </w:r>
      <w:r>
        <w:fldChar w:fldCharType="begin"/>
      </w:r>
      <w:r>
        <w:instrText xml:space="preserve"> HYPERLINK "./return.md#_1-居间人信息管理" \h </w:instrText>
      </w:r>
      <w:r>
        <w:fldChar w:fldCharType="separate"/>
      </w:r>
      <w:r>
        <w:rPr>
          <w:rStyle w:val="23"/>
        </w:rPr>
        <w:t xml:space="preserve">1.2 </w:t>
      </w:r>
      <w:r>
        <w:rPr>
          <w:rStyle w:val="23"/>
          <w:rFonts w:hint="eastAsia"/>
        </w:rPr>
        <w:t>居间人信息维护</w:t>
      </w:r>
      <w:r>
        <w:rPr>
          <w:rStyle w:val="23"/>
          <w:rFonts w:hint="eastAsia"/>
        </w:rPr>
        <w:fldChar w:fldCharType="end"/>
      </w:r>
      <w:r>
        <w:t xml:space="preserve"> </w:t>
      </w:r>
      <w:r>
        <w:rPr>
          <w:rFonts w:hint="eastAsia"/>
        </w:rPr>
        <w:t>及</w:t>
      </w:r>
      <w:r>
        <w:t xml:space="preserve"> </w:t>
      </w:r>
      <w:r>
        <w:fldChar w:fldCharType="begin"/>
      </w:r>
      <w:r>
        <w:instrText xml:space="preserve"> HYPERLINK "./return.md#_2-居间人业绩关系管理" \h </w:instrText>
      </w:r>
      <w:r>
        <w:fldChar w:fldCharType="separate"/>
      </w:r>
      <w:r>
        <w:rPr>
          <w:rStyle w:val="23"/>
        </w:rPr>
        <w:t xml:space="preserve">2.2 </w:t>
      </w:r>
      <w:r>
        <w:rPr>
          <w:rStyle w:val="23"/>
          <w:rFonts w:hint="eastAsia"/>
        </w:rPr>
        <w:t>居间业绩关系维护</w:t>
      </w:r>
      <w:r>
        <w:rPr>
          <w:rStyle w:val="23"/>
          <w:rFonts w:hint="eastAsia"/>
        </w:rPr>
        <w:fldChar w:fldCharType="end"/>
      </w:r>
      <w:r>
        <w:t xml:space="preserve"> </w:t>
      </w:r>
      <w:r>
        <w:rPr>
          <w:rFonts w:hint="eastAsia"/>
        </w:rPr>
        <w:t>中提交时直接触发；</w:t>
      </w:r>
    </w:p>
    <w:p w14:paraId="331AEAF0">
      <w:pPr>
        <w:pStyle w:val="3"/>
      </w:pPr>
      <w:r>
        <w:rPr>
          <w:rFonts w:hint="eastAsia"/>
        </w:rPr>
        <w:t>居间人信息的利益冲突筛查流程如下：</w:t>
      </w:r>
    </w:p>
    <w:p w14:paraId="20E3C9DB">
      <w:pPr>
        <w:pStyle w:val="3"/>
      </w:pPr>
      <w:r>
        <w:drawing>
          <wp:inline distT="0" distB="0" distL="114300" distR="114300">
            <wp:extent cx="5334000" cy="3284220"/>
            <wp:effectExtent l="0" t="0" r="0" b="0"/>
            <wp:docPr id="256"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Picture" descr="image.png"/>
                    <pic:cNvPicPr>
                      <a:picLocks noChangeAspect="1" noChangeArrowheads="1"/>
                    </pic:cNvPicPr>
                  </pic:nvPicPr>
                  <pic:blipFill>
                    <a:blip r:embed="rId69"/>
                    <a:stretch>
                      <a:fillRect/>
                    </a:stretch>
                  </pic:blipFill>
                  <pic:spPr>
                    <a:xfrm>
                      <a:off x="0" y="0"/>
                      <a:ext cx="5334000" cy="3284596"/>
                    </a:xfrm>
                    <a:prstGeom prst="rect">
                      <a:avLst/>
                    </a:prstGeom>
                    <a:noFill/>
                    <a:ln w="9525">
                      <a:noFill/>
                    </a:ln>
                  </pic:spPr>
                </pic:pic>
              </a:graphicData>
            </a:graphic>
          </wp:inline>
        </w:drawing>
      </w:r>
    </w:p>
    <w:p w14:paraId="0EAAB71B">
      <w:pPr>
        <w:pStyle w:val="3"/>
      </w:pPr>
      <w:r>
        <w:rPr>
          <w:rFonts w:hint="eastAsia"/>
        </w:rPr>
        <w:t>居间人信息的利益冲突筛查说明：</w:t>
      </w:r>
    </w:p>
    <w:p w14:paraId="0271EE52">
      <w:pPr>
        <w:numPr>
          <w:ilvl w:val="0"/>
          <w:numId w:val="5"/>
        </w:numPr>
      </w:pPr>
      <w:r>
        <w:rPr>
          <w:rFonts w:hint="eastAsia"/>
          <w:b/>
          <w:bCs/>
        </w:rPr>
        <w:t>期货公司工作人员，员工的配偶、父母、子女及子女的配偶</w:t>
      </w:r>
      <w:r>
        <w:rPr>
          <w:rFonts w:hint="eastAsia"/>
        </w:rPr>
        <w:t>：系统会使用居间人的名称|证件类型|证件号码</w:t>
      </w:r>
      <w:r>
        <w:t xml:space="preserve"> </w:t>
      </w:r>
      <w:r>
        <w:rPr>
          <w:rFonts w:hint="eastAsia"/>
        </w:rPr>
        <w:t>与</w:t>
      </w:r>
      <w:r>
        <w:t xml:space="preserve"> </w:t>
      </w:r>
      <w:r>
        <w:rPr>
          <w:rFonts w:hint="eastAsia"/>
        </w:rPr>
        <w:t>【员工交易行为排查】模块中录入的员工及近亲属信息进行匹配（</w:t>
      </w:r>
      <w:r>
        <w:rPr>
          <w:rFonts w:hint="eastAsia"/>
          <w:i/>
          <w:iCs/>
        </w:rPr>
        <w:t>因此需要提前维护好员工及近亲属名单：【员工信息维护】和【员工近亲属信息维护】</w:t>
      </w:r>
      <w:r>
        <w:rPr>
          <w:rFonts w:hint="eastAsia"/>
        </w:rPr>
        <w:t>）；</w:t>
      </w:r>
    </w:p>
    <w:p w14:paraId="257E6410">
      <w:pPr>
        <w:numPr>
          <w:ilvl w:val="0"/>
          <w:numId w:val="5"/>
        </w:numPr>
      </w:pPr>
      <w:r>
        <w:rPr>
          <w:rFonts w:hint="eastAsia"/>
          <w:b/>
          <w:bCs/>
        </w:rPr>
        <w:t>开户代理人、指定下单人、资金调拨人、结算单确认人</w:t>
      </w:r>
      <w:r>
        <w:rPr>
          <w:rFonts w:hint="eastAsia"/>
        </w:rPr>
        <w:t>：系统会使用居间人的名称|证件类型|证件号码</w:t>
      </w:r>
      <w:r>
        <w:t xml:space="preserve"> </w:t>
      </w:r>
      <w:r>
        <w:rPr>
          <w:rFonts w:hint="eastAsia"/>
        </w:rPr>
        <w:t>与</w:t>
      </w:r>
      <w:r>
        <w:t xml:space="preserve"> </w:t>
      </w:r>
      <w:r>
        <w:rPr>
          <w:rFonts w:hint="eastAsia"/>
        </w:rPr>
        <w:t>柜台获取的投资者关系人信息进行匹配；</w:t>
      </w:r>
    </w:p>
    <w:p w14:paraId="49B57F31">
      <w:pPr>
        <w:numPr>
          <w:ilvl w:val="0"/>
          <w:numId w:val="5"/>
        </w:numPr>
      </w:pPr>
      <w:r>
        <w:rPr>
          <w:rFonts w:hint="eastAsia"/>
          <w:b/>
          <w:bCs/>
        </w:rPr>
        <w:t>自然人居间的工作单位不能是与公司签约的法人居间</w:t>
      </w:r>
      <w:r>
        <w:rPr>
          <w:rFonts w:hint="eastAsia"/>
        </w:rPr>
        <w:t>:系统会使用自然人居间的工作单位统一社会信用代码</w:t>
      </w:r>
      <w:r>
        <w:t xml:space="preserve"> </w:t>
      </w:r>
      <w:r>
        <w:rPr>
          <w:rFonts w:hint="eastAsia"/>
        </w:rPr>
        <w:t>与</w:t>
      </w:r>
      <w:r>
        <w:t xml:space="preserve"> </w:t>
      </w:r>
      <w:r>
        <w:rPr>
          <w:rFonts w:hint="eastAsia"/>
        </w:rPr>
        <w:t>法人居间的证件号码（应该采集其</w:t>
      </w:r>
      <w:r>
        <w:t xml:space="preserve"> </w:t>
      </w:r>
      <w:r>
        <w:rPr>
          <w:rFonts w:hint="eastAsia"/>
        </w:rPr>
        <w:t>统一社会信用代码）进行匹配；</w:t>
      </w:r>
    </w:p>
    <w:p w14:paraId="6DD7BE26">
      <w:pPr>
        <w:pStyle w:val="26"/>
      </w:pPr>
      <w:r>
        <w:rPr>
          <w:rFonts w:hint="eastAsia"/>
        </w:rPr>
        <w:t>其次，业绩关系维护也支持利益冲突筛查，流程如下：</w:t>
      </w:r>
    </w:p>
    <w:p w14:paraId="3249A7C5">
      <w:pPr>
        <w:pStyle w:val="3"/>
      </w:pPr>
      <w:r>
        <w:drawing>
          <wp:inline distT="0" distB="0" distL="114300" distR="114300">
            <wp:extent cx="5334000" cy="2956560"/>
            <wp:effectExtent l="0" t="0" r="0" b="0"/>
            <wp:docPr id="259" name="Picture" descr="image.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Picture" descr="image.svg"/>
                    <pic:cNvPicPr>
                      <a:picLocks noChangeAspect="1" noChangeArrowheads="1"/>
                    </pic:cNvPicPr>
                  </pic:nvPicPr>
                  <pic:blipFill>
                    <a:blip r:embed="rId70"/>
                    <a:stretch>
                      <a:fillRect/>
                    </a:stretch>
                  </pic:blipFill>
                  <pic:spPr>
                    <a:xfrm>
                      <a:off x="0" y="0"/>
                      <a:ext cx="5334000" cy="2956639"/>
                    </a:xfrm>
                    <a:prstGeom prst="rect">
                      <a:avLst/>
                    </a:prstGeom>
                    <a:noFill/>
                    <a:ln w="9525">
                      <a:noFill/>
                    </a:ln>
                  </pic:spPr>
                </pic:pic>
              </a:graphicData>
            </a:graphic>
          </wp:inline>
        </w:drawing>
      </w:r>
    </w:p>
    <w:p w14:paraId="5CC3E940">
      <w:pPr>
        <w:pStyle w:val="3"/>
      </w:pPr>
      <w:r>
        <w:rPr>
          <w:rFonts w:hint="eastAsia"/>
        </w:rPr>
        <w:t>居间业绩关系的利益冲突筛查说明：</w:t>
      </w:r>
    </w:p>
    <w:p w14:paraId="1A944F84">
      <w:pPr>
        <w:pStyle w:val="27"/>
        <w:numPr>
          <w:ilvl w:val="0"/>
          <w:numId w:val="6"/>
        </w:numPr>
      </w:pPr>
      <w:r>
        <w:rPr>
          <w:rFonts w:hint="eastAsia"/>
          <w:b/>
          <w:bCs/>
        </w:rPr>
        <w:t>居间客户不得出现特殊单位客户</w:t>
      </w:r>
      <w:r>
        <w:rPr>
          <w:rFonts w:hint="eastAsia"/>
        </w:rPr>
        <w:t>：系统会排查挂靠的投资者是否为特殊法人户；</w:t>
      </w:r>
    </w:p>
    <w:p w14:paraId="1FF62DF5">
      <w:pPr>
        <w:pStyle w:val="27"/>
        <w:numPr>
          <w:ilvl w:val="0"/>
          <w:numId w:val="6"/>
        </w:numPr>
      </w:pPr>
      <w:r>
        <w:rPr>
          <w:rFonts w:hint="eastAsia"/>
          <w:b/>
          <w:bCs/>
        </w:rPr>
        <w:t>机构客户的法人代表、实际控制人、工作人员不得成为该机构与期货公司的居间人</w:t>
      </w:r>
      <w:r>
        <w:rPr>
          <w:rFonts w:hint="eastAsia"/>
        </w:rPr>
        <w:t>：居间人如果是在职员工，系统将其证件号码与挂靠的一般法人户的法人代表，实际控制人进行匹配，将其工作单位的统一社会信用代码与挂靠的一般法人户的统一社会信用代码进行匹配；</w:t>
      </w:r>
    </w:p>
    <w:p w14:paraId="455F9867">
      <w:pPr>
        <w:pStyle w:val="13"/>
      </w:pPr>
      <w:r>
        <w:rPr>
          <w:rFonts w:hint="eastAsia"/>
          <w:b/>
          <w:bCs/>
        </w:rPr>
        <w:t>注意</w:t>
      </w:r>
    </w:p>
    <w:p w14:paraId="6345ABA7">
      <w:pPr>
        <w:pStyle w:val="13"/>
      </w:pPr>
      <w:r>
        <w:rPr>
          <w:rFonts w:hint="eastAsia"/>
        </w:rPr>
        <w:t>实际控制人信息从德索反洗钱中获取，若无对接德索反洗钱，默认不筛查实际控制人。（若需对接外部数据源，请联系德索工程师支持）</w:t>
      </w:r>
    </w:p>
    <w:p w14:paraId="62F134E3">
      <w:pPr>
        <w:pStyle w:val="27"/>
        <w:numPr>
          <w:ilvl w:val="0"/>
          <w:numId w:val="7"/>
        </w:numPr>
      </w:pPr>
      <w:r>
        <w:rPr>
          <w:rFonts w:hint="eastAsia"/>
          <w:b/>
          <w:bCs/>
        </w:rPr>
        <w:t>居间人不得成为其本人及其配偶、父母、子女、子女配偶的居间人</w:t>
      </w:r>
      <w:r>
        <w:rPr>
          <w:rFonts w:hint="eastAsia"/>
        </w:rPr>
        <w:t>：居间人录入业绩关系时，开发的客户不能是本人及本人配偶、父母、子女、子女配偶。</w:t>
      </w:r>
    </w:p>
    <w:p w14:paraId="1950802E">
      <w:pPr>
        <w:pStyle w:val="26"/>
      </w:pPr>
      <w:r>
        <w:rPr>
          <w:rFonts w:hint="eastAsia"/>
        </w:rPr>
        <w:t>每日盘后触发，目的是当柜台里的客户资料发生变更，包括投资者关系人发生变更，以及员工近亲属信息发生变更时，系统能够自动筛查出存量居间人信息是否有利益冲突的情况。</w:t>
      </w:r>
    </w:p>
    <w:p w14:paraId="08337D2D">
      <w:pPr>
        <w:pStyle w:val="3"/>
      </w:pPr>
      <w:r>
        <w:rPr>
          <w:rFonts w:hint="eastAsia"/>
        </w:rPr>
        <w:t>筛中是存在利益冲突情况的，系统会记录详情，比如投资者代码、关系人类型及名称等，或者是员工代码、近亲属类型及名称等。</w:t>
      </w:r>
    </w:p>
    <w:p w14:paraId="10EF6189">
      <w:pPr>
        <w:pStyle w:val="3"/>
      </w:pPr>
      <w:r>
        <w:rPr>
          <w:rFonts w:hint="eastAsia"/>
        </w:rPr>
        <w:t>筛中记录，是以</w:t>
      </w:r>
      <w:r>
        <w:t xml:space="preserve"> </w:t>
      </w:r>
      <w:r>
        <w:rPr>
          <w:rFonts w:hint="eastAsia"/>
          <w:b/>
          <w:bCs/>
        </w:rPr>
        <w:t>居间人代码|对象代码</w:t>
      </w:r>
      <w:r>
        <w:rPr>
          <w:rFonts w:hint="eastAsia"/>
        </w:rPr>
        <w:t>（投资者代码/员工代码）为主键，相同主键的记录再次命中时，系统保存是以覆盖式处理，然后更新”时间”信息。</w:t>
      </w:r>
    </w:p>
    <w:p w14:paraId="0642FE64">
      <w:pPr>
        <w:pStyle w:val="3"/>
      </w:pPr>
      <w:r>
        <w:rPr>
          <w:rFonts w:hint="eastAsia"/>
        </w:rPr>
        <w:t>以</w:t>
      </w:r>
      <w:r>
        <w:t xml:space="preserve"> </w:t>
      </w:r>
      <w:r>
        <w:rPr>
          <w:rFonts w:hint="eastAsia"/>
        </w:rPr>
        <w:t>居间人</w:t>
      </w:r>
      <w:r>
        <w:t xml:space="preserve"> </w:t>
      </w:r>
      <w:r>
        <w:rPr>
          <w:rFonts w:hint="eastAsia"/>
        </w:rPr>
        <w:t>与</w:t>
      </w:r>
      <w:r>
        <w:t xml:space="preserve"> </w:t>
      </w:r>
      <w:r>
        <w:rPr>
          <w:rFonts w:hint="eastAsia"/>
        </w:rPr>
        <w:t>投资者及关系人</w:t>
      </w:r>
      <w:r>
        <w:t xml:space="preserve"> </w:t>
      </w:r>
      <w:r>
        <w:rPr>
          <w:rFonts w:hint="eastAsia"/>
        </w:rPr>
        <w:t>的筛查为例来说明：</w:t>
      </w:r>
    </w:p>
    <w:p w14:paraId="2928C8A4">
      <w:pPr>
        <w:pStyle w:val="3"/>
      </w:pPr>
      <w:r>
        <w:rPr>
          <w:rFonts w:hint="eastAsia"/>
        </w:rPr>
        <w:t>（1）客户主体销户了，已经命中过的记录，则会成为”历史”无效记录保留，不会被删除；</w:t>
      </w:r>
    </w:p>
    <w:p w14:paraId="5D4A41B8">
      <w:pPr>
        <w:pStyle w:val="3"/>
      </w:pPr>
      <w:r>
        <w:rPr>
          <w:rFonts w:hint="eastAsia"/>
        </w:rPr>
        <w:t>（2）客户主体未销户，被命中过的关系人已经全部变更、不再命中，则已经命中过的记录也会成为”历史”；</w:t>
      </w:r>
    </w:p>
    <w:p w14:paraId="664DB773">
      <w:pPr>
        <w:pStyle w:val="3"/>
      </w:pPr>
      <w:r>
        <w:rPr>
          <w:rFonts w:hint="eastAsia"/>
        </w:rPr>
        <w:t>（3）客户主体未销户，被命中过的关系人未完全变更，或者产生新的关系人被命中，那么历史命中过的记录会被做覆盖处理，系统会以”当前”结果展示最新的筛中结果；</w:t>
      </w:r>
    </w:p>
    <w:p w14:paraId="4416D306">
      <w:pPr>
        <w:pStyle w:val="3"/>
      </w:pPr>
      <w:r>
        <w:rPr>
          <w:rFonts w:hint="eastAsia"/>
        </w:rPr>
        <w:t>根据业务数据分成两个页面：</w:t>
      </w:r>
    </w:p>
    <w:p w14:paraId="29BF7FAB">
      <w:pPr>
        <w:pStyle w:val="6"/>
      </w:pPr>
      <w:bookmarkStart w:id="50" w:name="居间信息筛查结果查询"/>
      <w:r>
        <w:t xml:space="preserve">5.1 </w:t>
      </w:r>
      <w:r>
        <w:rPr>
          <w:rFonts w:hint="eastAsia"/>
        </w:rPr>
        <w:t>居间信息筛查结果查询</w:t>
      </w:r>
    </w:p>
    <w:p w14:paraId="30300E39">
      <w:pPr>
        <w:pStyle w:val="26"/>
      </w:pPr>
      <w:r>
        <w:drawing>
          <wp:inline distT="0" distB="0" distL="114300" distR="114300">
            <wp:extent cx="5334000" cy="1042670"/>
            <wp:effectExtent l="0" t="0" r="0" b="0"/>
            <wp:docPr id="262"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Picture" descr="image.png"/>
                    <pic:cNvPicPr>
                      <a:picLocks noChangeAspect="1" noChangeArrowheads="1"/>
                    </pic:cNvPicPr>
                  </pic:nvPicPr>
                  <pic:blipFill>
                    <a:blip r:embed="rId71"/>
                    <a:stretch>
                      <a:fillRect/>
                    </a:stretch>
                  </pic:blipFill>
                  <pic:spPr>
                    <a:xfrm>
                      <a:off x="0" y="0"/>
                      <a:ext cx="5334000" cy="1043270"/>
                    </a:xfrm>
                    <a:prstGeom prst="rect">
                      <a:avLst/>
                    </a:prstGeom>
                    <a:noFill/>
                    <a:ln w="9525">
                      <a:noFill/>
                    </a:ln>
                  </pic:spPr>
                </pic:pic>
              </a:graphicData>
            </a:graphic>
          </wp:inline>
        </w:drawing>
      </w:r>
    </w:p>
    <w:bookmarkEnd w:id="50"/>
    <w:p w14:paraId="35A65D05">
      <w:pPr>
        <w:pStyle w:val="6"/>
      </w:pPr>
      <w:bookmarkStart w:id="51" w:name="居间关系筛查结果查询"/>
      <w:r>
        <w:t xml:space="preserve">5.2 </w:t>
      </w:r>
      <w:r>
        <w:rPr>
          <w:rFonts w:hint="eastAsia"/>
        </w:rPr>
        <w:t>居间关系筛查结果查询</w:t>
      </w:r>
    </w:p>
    <w:p w14:paraId="3F1A6B0C">
      <w:pPr>
        <w:pStyle w:val="26"/>
      </w:pPr>
      <w:r>
        <w:drawing>
          <wp:inline distT="0" distB="0" distL="114300" distR="114300">
            <wp:extent cx="5334000" cy="1355725"/>
            <wp:effectExtent l="0" t="0" r="0" b="0"/>
            <wp:docPr id="266"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Picture" descr="image.png"/>
                    <pic:cNvPicPr>
                      <a:picLocks noChangeAspect="1" noChangeArrowheads="1"/>
                    </pic:cNvPicPr>
                  </pic:nvPicPr>
                  <pic:blipFill>
                    <a:blip r:embed="rId72"/>
                    <a:stretch>
                      <a:fillRect/>
                    </a:stretch>
                  </pic:blipFill>
                  <pic:spPr>
                    <a:xfrm>
                      <a:off x="0" y="0"/>
                      <a:ext cx="5334000" cy="1356252"/>
                    </a:xfrm>
                    <a:prstGeom prst="rect">
                      <a:avLst/>
                    </a:prstGeom>
                    <a:noFill/>
                    <a:ln w="9525">
                      <a:noFill/>
                    </a:ln>
                  </pic:spPr>
                </pic:pic>
              </a:graphicData>
            </a:graphic>
          </wp:inline>
        </w:drawing>
      </w:r>
    </w:p>
    <w:bookmarkEnd w:id="51"/>
    <w:p w14:paraId="79021EDF">
      <w:pPr>
        <w:pStyle w:val="6"/>
      </w:pPr>
      <w:bookmarkStart w:id="52" w:name="居间信息前置筛查"/>
      <w:r>
        <w:t xml:space="preserve">5.3 </w:t>
      </w:r>
      <w:r>
        <w:rPr>
          <w:rFonts w:hint="eastAsia"/>
        </w:rPr>
        <w:t>居间信息前置筛查</w:t>
      </w:r>
    </w:p>
    <w:p w14:paraId="6791B232">
      <w:pPr>
        <w:pStyle w:val="26"/>
      </w:pPr>
      <w:r>
        <w:rPr>
          <w:rFonts w:hint="eastAsia"/>
        </w:rPr>
        <w:t>此功能主要用于将利益冲突筛查前置，以便于及时决定期货公司是否要跟此居间人建立居间关系。</w:t>
      </w:r>
    </w:p>
    <w:p w14:paraId="7A959742">
      <w:pPr>
        <w:pStyle w:val="3"/>
      </w:pPr>
      <w:r>
        <w:rPr>
          <w:rFonts w:hint="eastAsia"/>
        </w:rPr>
        <w:t>界面【查询】结果，均为人工发起过的事前筛查的历史记录留痕：（【查询】≠本次筛查）</w:t>
      </w:r>
    </w:p>
    <w:p w14:paraId="549D883C">
      <w:pPr>
        <w:pStyle w:val="3"/>
      </w:pPr>
      <w:r>
        <w:drawing>
          <wp:inline distT="0" distB="0" distL="114300" distR="114300">
            <wp:extent cx="5334000" cy="1822450"/>
            <wp:effectExtent l="0" t="0" r="0" b="0"/>
            <wp:docPr id="270"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Picture" descr="image.png"/>
                    <pic:cNvPicPr>
                      <a:picLocks noChangeAspect="1" noChangeArrowheads="1"/>
                    </pic:cNvPicPr>
                  </pic:nvPicPr>
                  <pic:blipFill>
                    <a:blip r:embed="rId73"/>
                    <a:stretch>
                      <a:fillRect/>
                    </a:stretch>
                  </pic:blipFill>
                  <pic:spPr>
                    <a:xfrm>
                      <a:off x="0" y="0"/>
                      <a:ext cx="5334000" cy="1822687"/>
                    </a:xfrm>
                    <a:prstGeom prst="rect">
                      <a:avLst/>
                    </a:prstGeom>
                    <a:noFill/>
                    <a:ln w="9525">
                      <a:noFill/>
                    </a:ln>
                  </pic:spPr>
                </pic:pic>
              </a:graphicData>
            </a:graphic>
          </wp:inline>
        </w:drawing>
      </w:r>
    </w:p>
    <w:p w14:paraId="498DF66C">
      <w:pPr>
        <w:pStyle w:val="3"/>
      </w:pPr>
      <w:r>
        <w:rPr>
          <w:rFonts w:hint="eastAsia"/>
        </w:rPr>
        <w:t>点击【新增】按钮，录入本次待筛查的居间人信息，以发起筛查请求：</w:t>
      </w:r>
    </w:p>
    <w:p w14:paraId="00D96F0A">
      <w:pPr>
        <w:pStyle w:val="3"/>
      </w:pPr>
      <w:r>
        <w:drawing>
          <wp:inline distT="0" distB="0" distL="114300" distR="114300">
            <wp:extent cx="5334000" cy="1434465"/>
            <wp:effectExtent l="0" t="0" r="0" b="0"/>
            <wp:docPr id="273"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Picture" descr="image.png"/>
                    <pic:cNvPicPr>
                      <a:picLocks noChangeAspect="1" noChangeArrowheads="1"/>
                    </pic:cNvPicPr>
                  </pic:nvPicPr>
                  <pic:blipFill>
                    <a:blip r:embed="rId74"/>
                    <a:stretch>
                      <a:fillRect/>
                    </a:stretch>
                  </pic:blipFill>
                  <pic:spPr>
                    <a:xfrm>
                      <a:off x="0" y="0"/>
                      <a:ext cx="5334000" cy="1434877"/>
                    </a:xfrm>
                    <a:prstGeom prst="rect">
                      <a:avLst/>
                    </a:prstGeom>
                    <a:noFill/>
                    <a:ln w="9525">
                      <a:noFill/>
                    </a:ln>
                  </pic:spPr>
                </pic:pic>
              </a:graphicData>
            </a:graphic>
          </wp:inline>
        </w:drawing>
      </w:r>
    </w:p>
    <w:p w14:paraId="5A2EEE2F">
      <w:pPr>
        <w:pStyle w:val="3"/>
      </w:pPr>
      <w:r>
        <w:rPr>
          <w:rFonts w:hint="eastAsia"/>
        </w:rPr>
        <w:t>点击右上角的【保存】按钮，系统会保存录入要素，并立即自动进行【居间人信息维护】阶段对应的利益冲突筛查内容（如下图所示），并输出展示筛查结果。</w:t>
      </w:r>
    </w:p>
    <w:bookmarkEnd w:id="49"/>
    <w:bookmarkEnd w:id="52"/>
    <w:p w14:paraId="15595BBC">
      <w:pPr>
        <w:pStyle w:val="5"/>
      </w:pPr>
      <w:bookmarkStart w:id="53" w:name="_Toc15596"/>
      <w:bookmarkStart w:id="54" w:name="居间客户回访管理"/>
      <w:r>
        <w:t xml:space="preserve">6. </w:t>
      </w:r>
      <w:r>
        <w:rPr>
          <w:rFonts w:hint="eastAsia"/>
        </w:rPr>
        <w:t>居间客户回访管理</w:t>
      </w:r>
      <w:bookmarkEnd w:id="53"/>
    </w:p>
    <w:p w14:paraId="65EDBC95">
      <w:pPr>
        <w:pStyle w:val="6"/>
      </w:pPr>
      <w:bookmarkStart w:id="55" w:name="回访筛查规则及描述"/>
      <w:r>
        <w:t xml:space="preserve">6.1 </w:t>
      </w:r>
      <w:r>
        <w:rPr>
          <w:rFonts w:hint="eastAsia"/>
        </w:rPr>
        <w:t>回访筛查规则及描述</w:t>
      </w:r>
    </w:p>
    <w:p w14:paraId="0EDDDDF3">
      <w:pPr>
        <w:pStyle w:val="13"/>
      </w:pPr>
      <w:r>
        <w:rPr>
          <w:rFonts w:hint="eastAsia"/>
          <w:b/>
          <w:bCs/>
        </w:rPr>
        <w:t>提示</w:t>
      </w:r>
    </w:p>
    <w:p w14:paraId="58E3BDD4">
      <w:pPr>
        <w:pStyle w:val="13"/>
      </w:pPr>
      <w:r>
        <w:rPr>
          <w:rFonts w:hint="eastAsia"/>
        </w:rPr>
        <w:t>（注：参数条件为“且”的关系，若只需单独筛查其中一项参数，另外两项参数值可设置为0）</w:t>
      </w:r>
    </w:p>
    <w:p w14:paraId="63C46F75">
      <w:pPr>
        <w:pStyle w:val="7"/>
      </w:pPr>
      <w:bookmarkStart w:id="56" w:name="多账户交易行为趋同"/>
      <w:r>
        <w:rPr>
          <w:rFonts w:hint="eastAsia"/>
        </w:rPr>
        <w:t>6.1.1.多账户交易行为趋同</w:t>
      </w:r>
    </w:p>
    <w:p w14:paraId="67E836A6">
      <w:pPr>
        <w:pStyle w:val="26"/>
      </w:pPr>
      <w:r>
        <w:rPr>
          <w:rFonts w:hint="eastAsia"/>
        </w:rPr>
        <w:t>不同的居间客户账户以同一种期货合约为标的，在同一时间段内，在相同的价位进行方向相同的交易，我们把这些投资者列为疑似交易行为趋同的投资者。</w:t>
      </w:r>
    </w:p>
    <w:p w14:paraId="3789F841">
      <w:pPr>
        <w:pStyle w:val="3"/>
      </w:pPr>
      <w:r>
        <w:rPr>
          <w:rFonts w:hint="eastAsia"/>
        </w:rPr>
        <w:t>筛查规则包含交易次数、成交金额、成交手数</w:t>
      </w:r>
      <w:r>
        <w:t xml:space="preserve"> </w:t>
      </w:r>
      <w:r>
        <w:rPr>
          <w:rFonts w:hint="eastAsia"/>
        </w:rPr>
        <w:t>3个可自定义调整的筛查参数，以满足各机构对筛查最低特征标准的自定义需求，或满足未来交易所的特定筛查要求。</w:t>
      </w:r>
    </w:p>
    <w:p w14:paraId="29734F0E">
      <w:pPr>
        <w:pStyle w:val="3"/>
      </w:pPr>
      <w:r>
        <w:rPr>
          <w:rFonts w:hint="eastAsia"/>
        </w:rPr>
        <w:t>同时，还计算出单项比对的相似度和综合比对相似度，在报表中支持调整“单次交易接近的比例”和“多次交易综合核定比例”这两个相似度阈值自定义控制筛查的严格程度。</w:t>
      </w:r>
    </w:p>
    <w:p w14:paraId="4706B98A">
      <w:pPr>
        <w:pStyle w:val="3"/>
      </w:pPr>
      <w:r>
        <w:drawing>
          <wp:inline distT="0" distB="0" distL="114300" distR="114300">
            <wp:extent cx="5334000" cy="1007745"/>
            <wp:effectExtent l="0" t="0" r="0" b="0"/>
            <wp:docPr id="278"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Picture" descr="image.png"/>
                    <pic:cNvPicPr>
                      <a:picLocks noChangeAspect="1" noChangeArrowheads="1"/>
                    </pic:cNvPicPr>
                  </pic:nvPicPr>
                  <pic:blipFill>
                    <a:blip r:embed="rId75"/>
                    <a:stretch>
                      <a:fillRect/>
                    </a:stretch>
                  </pic:blipFill>
                  <pic:spPr>
                    <a:xfrm>
                      <a:off x="0" y="0"/>
                      <a:ext cx="5334000" cy="1007877"/>
                    </a:xfrm>
                    <a:prstGeom prst="rect">
                      <a:avLst/>
                    </a:prstGeom>
                    <a:noFill/>
                    <a:ln w="9525">
                      <a:noFill/>
                    </a:ln>
                  </pic:spPr>
                </pic:pic>
              </a:graphicData>
            </a:graphic>
          </wp:inline>
        </w:drawing>
      </w:r>
    </w:p>
    <w:p w14:paraId="4D994974">
      <w:pPr>
        <w:pStyle w:val="3"/>
      </w:pPr>
      <w:r>
        <w:rPr>
          <w:rFonts w:hint="eastAsia"/>
        </w:rPr>
        <w:t>通过规则筛查出来的疑似交易趋同居间客户的明细情况，可在【居间客户疑似交易趋同明细查询】页面中进一步查询疑似趋同的对方投资者信息、合约名称、交易日期，以及成交明细详情。</w:t>
      </w:r>
    </w:p>
    <w:p w14:paraId="49FC92B5">
      <w:pPr>
        <w:pStyle w:val="3"/>
      </w:pPr>
      <w:r>
        <w:drawing>
          <wp:inline distT="0" distB="0" distL="114300" distR="114300">
            <wp:extent cx="5334000" cy="1151255"/>
            <wp:effectExtent l="0" t="0" r="0" b="0"/>
            <wp:docPr id="281"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descr="image.png"/>
                    <pic:cNvPicPr>
                      <a:picLocks noChangeAspect="1" noChangeArrowheads="1"/>
                    </pic:cNvPicPr>
                  </pic:nvPicPr>
                  <pic:blipFill>
                    <a:blip r:embed="rId76"/>
                    <a:stretch>
                      <a:fillRect/>
                    </a:stretch>
                  </pic:blipFill>
                  <pic:spPr>
                    <a:xfrm>
                      <a:off x="0" y="0"/>
                      <a:ext cx="5334000" cy="1151446"/>
                    </a:xfrm>
                    <a:prstGeom prst="rect">
                      <a:avLst/>
                    </a:prstGeom>
                    <a:noFill/>
                    <a:ln w="9525">
                      <a:noFill/>
                    </a:ln>
                  </pic:spPr>
                </pic:pic>
              </a:graphicData>
            </a:graphic>
          </wp:inline>
        </w:drawing>
      </w:r>
    </w:p>
    <w:p w14:paraId="7CB73A88">
      <w:pPr>
        <w:pStyle w:val="3"/>
      </w:pPr>
      <w:r>
        <w:drawing>
          <wp:inline distT="0" distB="0" distL="114300" distR="114300">
            <wp:extent cx="5334000" cy="1661795"/>
            <wp:effectExtent l="0" t="0" r="0" b="0"/>
            <wp:docPr id="284"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Picture" descr="image.png"/>
                    <pic:cNvPicPr>
                      <a:picLocks noChangeAspect="1" noChangeArrowheads="1"/>
                    </pic:cNvPicPr>
                  </pic:nvPicPr>
                  <pic:blipFill>
                    <a:blip r:embed="rId77"/>
                    <a:stretch>
                      <a:fillRect/>
                    </a:stretch>
                  </pic:blipFill>
                  <pic:spPr>
                    <a:xfrm>
                      <a:off x="0" y="0"/>
                      <a:ext cx="5334000" cy="1662043"/>
                    </a:xfrm>
                    <a:prstGeom prst="rect">
                      <a:avLst/>
                    </a:prstGeom>
                    <a:noFill/>
                    <a:ln w="9525">
                      <a:noFill/>
                    </a:ln>
                  </pic:spPr>
                </pic:pic>
              </a:graphicData>
            </a:graphic>
          </wp:inline>
        </w:drawing>
      </w:r>
    </w:p>
    <w:bookmarkEnd w:id="56"/>
    <w:p w14:paraId="24C52F24">
      <w:pPr>
        <w:pStyle w:val="7"/>
      </w:pPr>
      <w:bookmarkStart w:id="57" w:name="同址交易"/>
      <w:r>
        <w:rPr>
          <w:rFonts w:hint="eastAsia"/>
        </w:rPr>
        <w:t>6.1.2.同址交易</w:t>
      </w:r>
    </w:p>
    <w:p w14:paraId="47029F06">
      <w:pPr>
        <w:pStyle w:val="26"/>
      </w:pPr>
      <w:r>
        <w:rPr>
          <w:rFonts w:hint="eastAsia"/>
        </w:rPr>
        <w:t>识别在特定时间段内，使用相同IP地址或MAC地址登录/交易的不同期货投资者账户，特别关注这些账户与居间人之间的业务关系，以防范潜在的账户共享、违规操作等风险行为。</w:t>
      </w:r>
    </w:p>
    <w:p w14:paraId="66324838">
      <w:pPr>
        <w:pStyle w:val="3"/>
      </w:pPr>
      <w:r>
        <w:drawing>
          <wp:inline distT="0" distB="0" distL="114300" distR="114300">
            <wp:extent cx="5334000" cy="809625"/>
            <wp:effectExtent l="0" t="0" r="0" b="0"/>
            <wp:docPr id="288"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Picture" descr="image.png"/>
                    <pic:cNvPicPr>
                      <a:picLocks noChangeAspect="1" noChangeArrowheads="1"/>
                    </pic:cNvPicPr>
                  </pic:nvPicPr>
                  <pic:blipFill>
                    <a:blip r:embed="rId78"/>
                    <a:stretch>
                      <a:fillRect/>
                    </a:stretch>
                  </pic:blipFill>
                  <pic:spPr>
                    <a:xfrm>
                      <a:off x="0" y="0"/>
                      <a:ext cx="5334000" cy="810117"/>
                    </a:xfrm>
                    <a:prstGeom prst="rect">
                      <a:avLst/>
                    </a:prstGeom>
                    <a:noFill/>
                    <a:ln w="9525">
                      <a:noFill/>
                    </a:ln>
                  </pic:spPr>
                </pic:pic>
              </a:graphicData>
            </a:graphic>
          </wp:inline>
        </w:drawing>
      </w:r>
    </w:p>
    <w:p w14:paraId="2B526399">
      <w:pPr>
        <w:pStyle w:val="27"/>
        <w:numPr>
          <w:ilvl w:val="0"/>
          <w:numId w:val="2"/>
        </w:numPr>
      </w:pPr>
      <w:r>
        <w:rPr>
          <w:rFonts w:hint="eastAsia"/>
        </w:rPr>
        <w:t>同址类型：</w:t>
      </w:r>
    </w:p>
    <w:p w14:paraId="28297466">
      <w:pPr>
        <w:pStyle w:val="27"/>
        <w:numPr>
          <w:ilvl w:val="1"/>
          <w:numId w:val="2"/>
        </w:numPr>
      </w:pPr>
      <w:r>
        <w:rPr>
          <w:rFonts w:hint="eastAsia"/>
        </w:rPr>
        <w:t>地址类型：支持筛查“登录地址”或“报单地址”相同的场景。</w:t>
      </w:r>
    </w:p>
    <w:p w14:paraId="339AA3A0">
      <w:pPr>
        <w:pStyle w:val="26"/>
      </w:pPr>
      <w:r>
        <w:drawing>
          <wp:inline distT="0" distB="0" distL="114300" distR="114300">
            <wp:extent cx="2760980" cy="1390015"/>
            <wp:effectExtent l="0" t="0" r="0" b="0"/>
            <wp:docPr id="291"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Picture" descr="image.png"/>
                    <pic:cNvPicPr>
                      <a:picLocks noChangeAspect="1" noChangeArrowheads="1"/>
                    </pic:cNvPicPr>
                  </pic:nvPicPr>
                  <pic:blipFill>
                    <a:blip r:embed="rId79"/>
                    <a:stretch>
                      <a:fillRect/>
                    </a:stretch>
                  </pic:blipFill>
                  <pic:spPr>
                    <a:xfrm>
                      <a:off x="0" y="0"/>
                      <a:ext cx="2761199" cy="1390121"/>
                    </a:xfrm>
                    <a:prstGeom prst="rect">
                      <a:avLst/>
                    </a:prstGeom>
                    <a:noFill/>
                    <a:ln w="9525">
                      <a:noFill/>
                    </a:ln>
                  </pic:spPr>
                </pic:pic>
              </a:graphicData>
            </a:graphic>
          </wp:inline>
        </w:drawing>
      </w:r>
    </w:p>
    <w:p w14:paraId="7A64CB72">
      <w:pPr>
        <w:pStyle w:val="27"/>
        <w:numPr>
          <w:ilvl w:val="0"/>
          <w:numId w:val="2"/>
        </w:numPr>
      </w:pPr>
      <w:r>
        <w:rPr>
          <w:rFonts w:hint="eastAsia"/>
        </w:rPr>
        <w:t>匹配方式：支持以下4种IP/MAC地址组合的匹配条件：</w:t>
      </w:r>
    </w:p>
    <w:p w14:paraId="20DA64C1">
      <w:pPr>
        <w:pStyle w:val="26"/>
      </w:pPr>
      <w:r>
        <w:drawing>
          <wp:inline distT="0" distB="0" distL="114300" distR="114300">
            <wp:extent cx="2476500" cy="2000250"/>
            <wp:effectExtent l="0" t="0" r="0" b="0"/>
            <wp:docPr id="294"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Picture" descr="image.png"/>
                    <pic:cNvPicPr>
                      <a:picLocks noChangeAspect="1" noChangeArrowheads="1"/>
                    </pic:cNvPicPr>
                  </pic:nvPicPr>
                  <pic:blipFill>
                    <a:blip r:embed="rId80"/>
                    <a:stretch>
                      <a:fillRect/>
                    </a:stretch>
                  </pic:blipFill>
                  <pic:spPr>
                    <a:xfrm>
                      <a:off x="0" y="0"/>
                      <a:ext cx="2476799" cy="2000492"/>
                    </a:xfrm>
                    <a:prstGeom prst="rect">
                      <a:avLst/>
                    </a:prstGeom>
                    <a:noFill/>
                    <a:ln w="9525">
                      <a:noFill/>
                    </a:ln>
                  </pic:spPr>
                </pic:pic>
              </a:graphicData>
            </a:graphic>
          </wp:inline>
        </w:drawing>
      </w:r>
    </w:p>
    <w:p w14:paraId="1B4BE3DA">
      <w:pPr>
        <w:pStyle w:val="3"/>
      </w:pPr>
      <w:r>
        <w:rPr>
          <w:rFonts w:hint="eastAsia"/>
        </w:rPr>
        <w:t>通过规则筛查出来的疑似同址交易居间客户的明细情况，可在【居间客户同址明细查询】页面中进一步查询同址交易的居间客户IP地址、MAC地址和同址对方客户的信息。</w:t>
      </w:r>
    </w:p>
    <w:bookmarkEnd w:id="57"/>
    <w:p w14:paraId="36E7E277">
      <w:pPr>
        <w:pStyle w:val="7"/>
      </w:pPr>
      <w:bookmarkStart w:id="58" w:name="疑似配资"/>
      <w:r>
        <w:rPr>
          <w:rFonts w:hint="eastAsia"/>
        </w:rPr>
        <w:t>6.1.3.疑似配资</w:t>
      </w:r>
    </w:p>
    <w:p w14:paraId="54CFD0D7">
      <w:pPr>
        <w:pStyle w:val="26"/>
      </w:pPr>
      <w:r>
        <w:rPr>
          <w:rFonts w:hint="eastAsia"/>
        </w:rPr>
        <w:t>识别在特定时间段内，通过不同MAC地址接入交易，并且频繁修改密码的居间客户。</w:t>
      </w:r>
    </w:p>
    <w:p w14:paraId="1F860069">
      <w:pPr>
        <w:pStyle w:val="3"/>
      </w:pPr>
      <w:r>
        <w:rPr>
          <w:rFonts w:hint="eastAsia"/>
        </w:rPr>
        <w:t>提供密码修改开始日期、密码修改次数、同ip人数、交易金额、同一个投资者ip个数、日均交易合约个数</w:t>
      </w:r>
      <w:r>
        <w:t xml:space="preserve"> </w:t>
      </w:r>
      <w:r>
        <w:rPr>
          <w:rFonts w:hint="eastAsia"/>
        </w:rPr>
        <w:t>阈值作为筛选参数。</w:t>
      </w:r>
    </w:p>
    <w:p w14:paraId="7FB8D3A4">
      <w:pPr>
        <w:pStyle w:val="3"/>
      </w:pPr>
      <w:r>
        <w:drawing>
          <wp:inline distT="0" distB="0" distL="114300" distR="114300">
            <wp:extent cx="5334000" cy="927735"/>
            <wp:effectExtent l="0" t="0" r="0" b="0"/>
            <wp:docPr id="298"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descr="image.png"/>
                    <pic:cNvPicPr>
                      <a:picLocks noChangeAspect="1" noChangeArrowheads="1"/>
                    </pic:cNvPicPr>
                  </pic:nvPicPr>
                  <pic:blipFill>
                    <a:blip r:embed="rId81"/>
                    <a:stretch>
                      <a:fillRect/>
                    </a:stretch>
                  </pic:blipFill>
                  <pic:spPr>
                    <a:xfrm>
                      <a:off x="0" y="0"/>
                      <a:ext cx="5334000" cy="927787"/>
                    </a:xfrm>
                    <a:prstGeom prst="rect">
                      <a:avLst/>
                    </a:prstGeom>
                    <a:noFill/>
                    <a:ln w="9525">
                      <a:noFill/>
                    </a:ln>
                  </pic:spPr>
                </pic:pic>
              </a:graphicData>
            </a:graphic>
          </wp:inline>
        </w:drawing>
      </w:r>
    </w:p>
    <w:bookmarkEnd w:id="58"/>
    <w:p w14:paraId="44B2ADC8">
      <w:pPr>
        <w:pStyle w:val="7"/>
      </w:pPr>
      <w:bookmarkStart w:id="59" w:name="交易频繁"/>
      <w:r>
        <w:rPr>
          <w:rFonts w:hint="eastAsia"/>
        </w:rPr>
        <w:t>6.1.4.交易频繁</w:t>
      </w:r>
    </w:p>
    <w:p w14:paraId="191D8422">
      <w:pPr>
        <w:pStyle w:val="26"/>
      </w:pPr>
      <w:r>
        <w:rPr>
          <w:rFonts w:hint="eastAsia"/>
        </w:rPr>
        <w:t>识别在特定时间段内，日均成交量超过一定阈值的居间客户。提供</w:t>
      </w:r>
      <w:r>
        <w:rPr>
          <w:rFonts w:hint="eastAsia"/>
          <w:b/>
          <w:bCs/>
        </w:rPr>
        <w:t>日均成交量（手）</w:t>
      </w:r>
      <w:r>
        <w:rPr>
          <w:rFonts w:hint="eastAsia"/>
        </w:rPr>
        <w:t>阈值作为筛选参数。</w:t>
      </w:r>
    </w:p>
    <w:p w14:paraId="49D84FB1">
      <w:pPr>
        <w:pStyle w:val="3"/>
      </w:pPr>
      <w:r>
        <w:drawing>
          <wp:inline distT="0" distB="0" distL="114300" distR="114300">
            <wp:extent cx="5334000" cy="836295"/>
            <wp:effectExtent l="0" t="0" r="0" b="0"/>
            <wp:docPr id="302"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Picture" descr="image.png"/>
                    <pic:cNvPicPr>
                      <a:picLocks noChangeAspect="1" noChangeArrowheads="1"/>
                    </pic:cNvPicPr>
                  </pic:nvPicPr>
                  <pic:blipFill>
                    <a:blip r:embed="rId82"/>
                    <a:stretch>
                      <a:fillRect/>
                    </a:stretch>
                  </pic:blipFill>
                  <pic:spPr>
                    <a:xfrm>
                      <a:off x="0" y="0"/>
                      <a:ext cx="5334000" cy="836762"/>
                    </a:xfrm>
                    <a:prstGeom prst="rect">
                      <a:avLst/>
                    </a:prstGeom>
                    <a:noFill/>
                    <a:ln w="9525">
                      <a:noFill/>
                    </a:ln>
                  </pic:spPr>
                </pic:pic>
              </a:graphicData>
            </a:graphic>
          </wp:inline>
        </w:drawing>
      </w:r>
    </w:p>
    <w:bookmarkEnd w:id="59"/>
    <w:p w14:paraId="1533B740">
      <w:pPr>
        <w:pStyle w:val="7"/>
      </w:pPr>
      <w:bookmarkStart w:id="60" w:name="大额亏损"/>
      <w:r>
        <w:rPr>
          <w:rFonts w:hint="eastAsia"/>
        </w:rPr>
        <w:t>6.1.5.大额亏损</w:t>
      </w:r>
    </w:p>
    <w:p w14:paraId="73850BAA">
      <w:pPr>
        <w:pStyle w:val="26"/>
      </w:pPr>
      <w:r>
        <w:rPr>
          <w:rFonts w:hint="eastAsia"/>
        </w:rPr>
        <w:t>识别在特定时间段内，亏损超过一定阈值或比例的居间客户。</w:t>
      </w:r>
    </w:p>
    <w:p w14:paraId="327D1479">
      <w:pPr>
        <w:pStyle w:val="3"/>
      </w:pPr>
      <w:r>
        <w:rPr>
          <w:rFonts w:hint="eastAsia"/>
        </w:rPr>
        <w:t>提供亏损金额和亏损比例</w:t>
      </w:r>
      <w:r>
        <w:t xml:space="preserve"> </w:t>
      </w:r>
      <w:r>
        <w:rPr>
          <w:rFonts w:hint="eastAsia"/>
        </w:rPr>
        <w:t>阈值作为筛查参数。</w:t>
      </w:r>
    </w:p>
    <w:p w14:paraId="12848A5B">
      <w:pPr>
        <w:pStyle w:val="3"/>
      </w:pPr>
      <w:r>
        <w:drawing>
          <wp:inline distT="0" distB="0" distL="114300" distR="114300">
            <wp:extent cx="5334000" cy="848360"/>
            <wp:effectExtent l="0" t="0" r="0" b="0"/>
            <wp:docPr id="306"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Picture" descr="image.png"/>
                    <pic:cNvPicPr>
                      <a:picLocks noChangeAspect="1" noChangeArrowheads="1"/>
                    </pic:cNvPicPr>
                  </pic:nvPicPr>
                  <pic:blipFill>
                    <a:blip r:embed="rId83"/>
                    <a:stretch>
                      <a:fillRect/>
                    </a:stretch>
                  </pic:blipFill>
                  <pic:spPr>
                    <a:xfrm>
                      <a:off x="0" y="0"/>
                      <a:ext cx="5334000" cy="848590"/>
                    </a:xfrm>
                    <a:prstGeom prst="rect">
                      <a:avLst/>
                    </a:prstGeom>
                    <a:noFill/>
                    <a:ln w="9525">
                      <a:noFill/>
                    </a:ln>
                  </pic:spPr>
                </pic:pic>
              </a:graphicData>
            </a:graphic>
          </wp:inline>
        </w:drawing>
      </w:r>
    </w:p>
    <w:bookmarkEnd w:id="60"/>
    <w:p w14:paraId="3ED33001">
      <w:pPr>
        <w:pStyle w:val="7"/>
      </w:pPr>
      <w:bookmarkStart w:id="61" w:name="手续费较高"/>
      <w:r>
        <w:rPr>
          <w:rFonts w:hint="eastAsia"/>
        </w:rPr>
        <w:t>6.1.6.手续费较高</w:t>
      </w:r>
    </w:p>
    <w:p w14:paraId="3752638B">
      <w:pPr>
        <w:pStyle w:val="26"/>
      </w:pPr>
      <w:r>
        <w:rPr>
          <w:rFonts w:hint="eastAsia"/>
        </w:rPr>
        <w:t>识别在特定时间段内，总手续费超过交易所手续费一定比例的居间客户。</w:t>
      </w:r>
    </w:p>
    <w:p w14:paraId="383AA0DA">
      <w:pPr>
        <w:pStyle w:val="3"/>
      </w:pPr>
      <w:r>
        <w:rPr>
          <w:rFonts w:hint="eastAsia"/>
        </w:rPr>
        <w:t>提供</w:t>
      </w:r>
      <w:r>
        <w:t xml:space="preserve"> </w:t>
      </w:r>
      <w:r>
        <w:rPr>
          <w:rFonts w:hint="eastAsia"/>
        </w:rPr>
        <w:t>佣金比率（总手续费/上交所手续费</w:t>
      </w:r>
      <w:r>
        <w:t xml:space="preserve"> </w:t>
      </w:r>
      <w:r>
        <w:rPr>
          <w:rFonts w:hint="eastAsia"/>
        </w:rPr>
        <w:t>的比值）阈值作为筛查参数。</w:t>
      </w:r>
    </w:p>
    <w:p w14:paraId="7531FBE6">
      <w:pPr>
        <w:pStyle w:val="3"/>
      </w:pPr>
      <w:r>
        <w:drawing>
          <wp:inline distT="0" distB="0" distL="114300" distR="114300">
            <wp:extent cx="5334000" cy="953770"/>
            <wp:effectExtent l="0" t="0" r="0" b="0"/>
            <wp:docPr id="310"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Picture" descr="image.png"/>
                    <pic:cNvPicPr>
                      <a:picLocks noChangeAspect="1" noChangeArrowheads="1"/>
                    </pic:cNvPicPr>
                  </pic:nvPicPr>
                  <pic:blipFill>
                    <a:blip r:embed="rId84"/>
                    <a:stretch>
                      <a:fillRect/>
                    </a:stretch>
                  </pic:blipFill>
                  <pic:spPr>
                    <a:xfrm>
                      <a:off x="0" y="0"/>
                      <a:ext cx="5334000" cy="953837"/>
                    </a:xfrm>
                    <a:prstGeom prst="rect">
                      <a:avLst/>
                    </a:prstGeom>
                    <a:noFill/>
                    <a:ln w="9525">
                      <a:noFill/>
                    </a:ln>
                  </pic:spPr>
                </pic:pic>
              </a:graphicData>
            </a:graphic>
          </wp:inline>
        </w:drawing>
      </w:r>
    </w:p>
    <w:bookmarkEnd w:id="61"/>
    <w:p w14:paraId="579C3C6A">
      <w:pPr>
        <w:pStyle w:val="7"/>
      </w:pPr>
      <w:bookmarkStart w:id="62" w:name="利益输送"/>
      <w:r>
        <w:rPr>
          <w:rFonts w:hint="eastAsia"/>
        </w:rPr>
        <w:t>6.1.7.利益输送</w:t>
      </w:r>
    </w:p>
    <w:p w14:paraId="2B60C435">
      <w:pPr>
        <w:pStyle w:val="26"/>
      </w:pPr>
      <w:r>
        <w:rPr>
          <w:rFonts w:hint="eastAsia"/>
        </w:rPr>
        <w:t>不同的居间客户账户以同一种期货合约为标的，在同一时间段内，在相同的价位进行方向相反的交易，我们把这些投资者列为疑似利益输送的投资者。</w:t>
      </w:r>
    </w:p>
    <w:p w14:paraId="6A0A8C21">
      <w:pPr>
        <w:pStyle w:val="3"/>
      </w:pPr>
      <w:r>
        <w:rPr>
          <w:rFonts w:hint="eastAsia"/>
        </w:rPr>
        <w:t>筛查逻辑与交易行为趋同区别在于，筛查的是交易方向相反</w:t>
      </w:r>
      <w:r>
        <w:t xml:space="preserve"> </w:t>
      </w:r>
      <w:r>
        <w:rPr>
          <w:rFonts w:hint="eastAsia"/>
        </w:rPr>
        <w:t>的居间客户，其他的筛查条件一致。</w:t>
      </w:r>
    </w:p>
    <w:p w14:paraId="28E48E5B">
      <w:pPr>
        <w:pStyle w:val="3"/>
      </w:pPr>
      <w:r>
        <w:drawing>
          <wp:inline distT="0" distB="0" distL="114300" distR="114300">
            <wp:extent cx="5334000" cy="916940"/>
            <wp:effectExtent l="0" t="0" r="0" b="0"/>
            <wp:docPr id="314"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Picture" descr="image.png"/>
                    <pic:cNvPicPr>
                      <a:picLocks noChangeAspect="1" noChangeArrowheads="1"/>
                    </pic:cNvPicPr>
                  </pic:nvPicPr>
                  <pic:blipFill>
                    <a:blip r:embed="rId85"/>
                    <a:stretch>
                      <a:fillRect/>
                    </a:stretch>
                  </pic:blipFill>
                  <pic:spPr>
                    <a:xfrm>
                      <a:off x="0" y="0"/>
                      <a:ext cx="5334000" cy="917073"/>
                    </a:xfrm>
                    <a:prstGeom prst="rect">
                      <a:avLst/>
                    </a:prstGeom>
                    <a:noFill/>
                    <a:ln w="9525">
                      <a:noFill/>
                    </a:ln>
                  </pic:spPr>
                </pic:pic>
              </a:graphicData>
            </a:graphic>
          </wp:inline>
        </w:drawing>
      </w:r>
    </w:p>
    <w:bookmarkEnd w:id="55"/>
    <w:bookmarkEnd w:id="62"/>
    <w:p w14:paraId="610E44E6">
      <w:pPr>
        <w:pStyle w:val="6"/>
      </w:pPr>
      <w:bookmarkStart w:id="63" w:name="回访操作步骤"/>
      <w:r>
        <w:t xml:space="preserve">6.2 </w:t>
      </w:r>
      <w:r>
        <w:rPr>
          <w:rFonts w:hint="eastAsia"/>
        </w:rPr>
        <w:t>回访操作步骤</w:t>
      </w:r>
    </w:p>
    <w:p w14:paraId="6E07F1E9">
      <w:pPr>
        <w:pStyle w:val="7"/>
      </w:pPr>
      <w:bookmarkStart w:id="64" w:name="回访规则维护"/>
      <w:r>
        <w:t xml:space="preserve">6.2.1 </w:t>
      </w:r>
      <w:r>
        <w:rPr>
          <w:rFonts w:hint="eastAsia"/>
        </w:rPr>
        <w:t>回访规则维护</w:t>
      </w:r>
    </w:p>
    <w:p w14:paraId="65968A84">
      <w:pPr>
        <w:pStyle w:val="26"/>
      </w:pPr>
      <w:r>
        <w:rPr>
          <w:rFonts w:hint="eastAsia"/>
        </w:rPr>
        <w:t>系统运维人员使用菜单，普通业务人员请谨慎授权！</w:t>
      </w:r>
    </w:p>
    <w:p w14:paraId="375E61B6">
      <w:pPr>
        <w:pStyle w:val="3"/>
      </w:pPr>
      <w:r>
        <w:rPr>
          <w:rFonts w:hint="eastAsia"/>
        </w:rPr>
        <w:t>此功能用于维护期货公司</w:t>
      </w:r>
      <w:r>
        <w:rPr>
          <w:rFonts w:hint="eastAsia"/>
          <w:b/>
          <w:bCs/>
        </w:rPr>
        <w:t>自定义</w:t>
      </w:r>
      <w:r>
        <w:rPr>
          <w:rFonts w:hint="eastAsia"/>
        </w:rPr>
        <w:t>的居间回访规则，可以支持：自定义</w:t>
      </w:r>
      <w:r>
        <w:t xml:space="preserve"> </w:t>
      </w:r>
      <w:r>
        <w:rPr>
          <w:rFonts w:hint="eastAsia"/>
          <w:b/>
          <w:bCs/>
        </w:rPr>
        <w:t>筛查规则</w:t>
      </w:r>
      <w:r>
        <w:rPr>
          <w:rFonts w:hint="eastAsia"/>
        </w:rPr>
        <w:t>、录入的</w:t>
      </w:r>
      <w:r>
        <w:rPr>
          <w:rFonts w:hint="eastAsia"/>
          <w:b/>
          <w:bCs/>
        </w:rPr>
        <w:t>筛选参数（可带默认值）</w:t>
      </w:r>
      <w:r>
        <w:t xml:space="preserve"> </w:t>
      </w:r>
      <w:r>
        <w:rPr>
          <w:rFonts w:hint="eastAsia"/>
        </w:rPr>
        <w:t>以及</w:t>
      </w:r>
      <w:r>
        <w:t xml:space="preserve"> </w:t>
      </w:r>
      <w:r>
        <w:rPr>
          <w:rFonts w:hint="eastAsia"/>
          <w:b/>
          <w:bCs/>
        </w:rPr>
        <w:t>输出结果字段</w:t>
      </w:r>
      <w:r>
        <w:t>。</w:t>
      </w:r>
    </w:p>
    <w:p w14:paraId="0F0B62C0">
      <w:pPr>
        <w:pStyle w:val="3"/>
      </w:pPr>
      <w:r>
        <w:drawing>
          <wp:inline distT="0" distB="0" distL="114300" distR="114300">
            <wp:extent cx="5334000" cy="1544320"/>
            <wp:effectExtent l="0" t="0" r="0" b="0"/>
            <wp:docPr id="319"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Picture" descr="image.png"/>
                    <pic:cNvPicPr>
                      <a:picLocks noChangeAspect="1" noChangeArrowheads="1"/>
                    </pic:cNvPicPr>
                  </pic:nvPicPr>
                  <pic:blipFill>
                    <a:blip r:embed="rId86"/>
                    <a:stretch>
                      <a:fillRect/>
                    </a:stretch>
                  </pic:blipFill>
                  <pic:spPr>
                    <a:xfrm>
                      <a:off x="0" y="0"/>
                      <a:ext cx="5334000" cy="1544731"/>
                    </a:xfrm>
                    <a:prstGeom prst="rect">
                      <a:avLst/>
                    </a:prstGeom>
                    <a:noFill/>
                    <a:ln w="9525">
                      <a:noFill/>
                    </a:ln>
                  </pic:spPr>
                </pic:pic>
              </a:graphicData>
            </a:graphic>
          </wp:inline>
        </w:drawing>
      </w:r>
    </w:p>
    <w:bookmarkEnd w:id="64"/>
    <w:p w14:paraId="039D7CED">
      <w:pPr>
        <w:pStyle w:val="7"/>
      </w:pPr>
      <w:bookmarkStart w:id="65" w:name="回访名单生成"/>
      <w:r>
        <w:t xml:space="preserve">6.2 </w:t>
      </w:r>
      <w:r>
        <w:rPr>
          <w:rFonts w:hint="eastAsia"/>
        </w:rPr>
        <w:t>回访名单生成</w:t>
      </w:r>
    </w:p>
    <w:p w14:paraId="09CE418E">
      <w:pPr>
        <w:pStyle w:val="27"/>
        <w:numPr>
          <w:ilvl w:val="0"/>
          <w:numId w:val="2"/>
        </w:numPr>
      </w:pPr>
      <w:r>
        <w:rPr>
          <w:rFonts w:hint="eastAsia"/>
        </w:rPr>
        <w:t>路径：居间人管理&gt;&gt;居间客户回访管理&gt;&gt;回访名单生成</w:t>
      </w:r>
    </w:p>
    <w:p w14:paraId="32D1E83C">
      <w:pPr>
        <w:pStyle w:val="26"/>
      </w:pPr>
      <w:r>
        <w:rPr>
          <w:rFonts w:hint="eastAsia"/>
        </w:rPr>
        <w:t>选择某一个”回访规则”，输入对应的参数值（如果设置了入参默认值，那么筛选条件中会自动展示），点【查询】即可生成对应的回访名单结果，可以选择部分名单【加入回访列表】或者【全部加入回访列表】。</w:t>
      </w:r>
    </w:p>
    <w:p w14:paraId="67C928F7">
      <w:pPr>
        <w:pStyle w:val="3"/>
      </w:pPr>
      <w:r>
        <w:drawing>
          <wp:inline distT="0" distB="0" distL="114300" distR="114300">
            <wp:extent cx="5334000" cy="1176020"/>
            <wp:effectExtent l="0" t="0" r="0" b="0"/>
            <wp:docPr id="323"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Picture" descr="image.png"/>
                    <pic:cNvPicPr>
                      <a:picLocks noChangeAspect="1" noChangeArrowheads="1"/>
                    </pic:cNvPicPr>
                  </pic:nvPicPr>
                  <pic:blipFill>
                    <a:blip r:embed="rId87"/>
                    <a:stretch>
                      <a:fillRect/>
                    </a:stretch>
                  </pic:blipFill>
                  <pic:spPr>
                    <a:xfrm>
                      <a:off x="0" y="0"/>
                      <a:ext cx="5334000" cy="1176043"/>
                    </a:xfrm>
                    <a:prstGeom prst="rect">
                      <a:avLst/>
                    </a:prstGeom>
                    <a:noFill/>
                    <a:ln w="9525">
                      <a:noFill/>
                    </a:ln>
                  </pic:spPr>
                </pic:pic>
              </a:graphicData>
            </a:graphic>
          </wp:inline>
        </w:drawing>
      </w:r>
    </w:p>
    <w:p w14:paraId="16C1A4FB">
      <w:pPr>
        <w:pStyle w:val="3"/>
      </w:pPr>
      <w:r>
        <w:rPr>
          <w:rFonts w:hint="eastAsia"/>
        </w:rPr>
        <w:t>此功能，支持数据权限管理；即分支机构人员登录系统使用此功能，筛查结果仅显示本部门或者下级部门的客户。</w:t>
      </w:r>
    </w:p>
    <w:p w14:paraId="4549CC74">
      <w:pPr>
        <w:pStyle w:val="3"/>
      </w:pPr>
      <w:r>
        <w:rPr>
          <w:rFonts w:hint="eastAsia"/>
        </w:rPr>
        <w:t>此功能，建议仅授权给总部人员，不建议下放分支机构。</w:t>
      </w:r>
    </w:p>
    <w:p w14:paraId="5D6C43FD">
      <w:pPr>
        <w:pStyle w:val="3"/>
      </w:pPr>
      <w:r>
        <w:rPr>
          <w:rFonts w:hint="eastAsia"/>
        </w:rPr>
        <w:t>针对居间新规对多账户交易行为趋同、利益输送的筛查要求，德索新增了【居间客户疑似交易趋同明细查询】和【居间客户疑似利益输送明细】功能。</w:t>
      </w:r>
    </w:p>
    <w:p w14:paraId="258712A7">
      <w:pPr>
        <w:pStyle w:val="3"/>
      </w:pPr>
      <w:r>
        <w:rPr>
          <w:rFonts w:hint="eastAsia"/>
        </w:rPr>
        <w:t>除了在【回访名单生成】页面中根据筛查规则筛查出需要回访的客户名单外，支持在这两个页面下钻查询疑似交易趋同、利益输送的客户对，以及交易明细详情。</w:t>
      </w:r>
    </w:p>
    <w:p w14:paraId="36A6CDC7">
      <w:pPr>
        <w:pStyle w:val="3"/>
      </w:pPr>
      <w:r>
        <w:rPr>
          <w:rFonts w:hint="eastAsia"/>
        </w:rPr>
        <w:t>业务人员可通过投资者代码查询了解交易趋同明细和利益输送明细后，再回到【回访名单生成】页面将对应投资者添加到回访名单中。</w:t>
      </w:r>
    </w:p>
    <w:p w14:paraId="1051D59A">
      <w:pPr>
        <w:pStyle w:val="3"/>
      </w:pPr>
      <w:r>
        <w:drawing>
          <wp:inline distT="0" distB="0" distL="114300" distR="114300">
            <wp:extent cx="5334000" cy="1251585"/>
            <wp:effectExtent l="0" t="0" r="0" b="0"/>
            <wp:docPr id="326"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Picture" descr="image.png"/>
                    <pic:cNvPicPr>
                      <a:picLocks noChangeAspect="1" noChangeArrowheads="1"/>
                    </pic:cNvPicPr>
                  </pic:nvPicPr>
                  <pic:blipFill>
                    <a:blip r:embed="rId88"/>
                    <a:stretch>
                      <a:fillRect/>
                    </a:stretch>
                  </pic:blipFill>
                  <pic:spPr>
                    <a:xfrm>
                      <a:off x="0" y="0"/>
                      <a:ext cx="5334000" cy="1251952"/>
                    </a:xfrm>
                    <a:prstGeom prst="rect">
                      <a:avLst/>
                    </a:prstGeom>
                    <a:noFill/>
                    <a:ln w="9525">
                      <a:noFill/>
                    </a:ln>
                  </pic:spPr>
                </pic:pic>
              </a:graphicData>
            </a:graphic>
          </wp:inline>
        </w:drawing>
      </w:r>
    </w:p>
    <w:p w14:paraId="7E573B3D">
      <w:pPr>
        <w:pStyle w:val="3"/>
      </w:pPr>
      <w:r>
        <w:drawing>
          <wp:inline distT="0" distB="0" distL="114300" distR="114300">
            <wp:extent cx="5334000" cy="2548890"/>
            <wp:effectExtent l="0" t="0" r="0" b="0"/>
            <wp:docPr id="329"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Picture" descr="image.png"/>
                    <pic:cNvPicPr>
                      <a:picLocks noChangeAspect="1" noChangeArrowheads="1"/>
                    </pic:cNvPicPr>
                  </pic:nvPicPr>
                  <pic:blipFill>
                    <a:blip r:embed="rId89"/>
                    <a:stretch>
                      <a:fillRect/>
                    </a:stretch>
                  </pic:blipFill>
                  <pic:spPr>
                    <a:xfrm>
                      <a:off x="0" y="0"/>
                      <a:ext cx="5334000" cy="2549244"/>
                    </a:xfrm>
                    <a:prstGeom prst="rect">
                      <a:avLst/>
                    </a:prstGeom>
                    <a:noFill/>
                    <a:ln w="9525">
                      <a:noFill/>
                    </a:ln>
                  </pic:spPr>
                </pic:pic>
              </a:graphicData>
            </a:graphic>
          </wp:inline>
        </w:drawing>
      </w:r>
    </w:p>
    <w:p w14:paraId="0827C04D">
      <w:pPr>
        <w:pStyle w:val="3"/>
      </w:pPr>
      <w:r>
        <w:drawing>
          <wp:inline distT="0" distB="0" distL="114300" distR="114300">
            <wp:extent cx="5334000" cy="2553335"/>
            <wp:effectExtent l="0" t="0" r="0" b="0"/>
            <wp:docPr id="332"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Picture" descr="image.png"/>
                    <pic:cNvPicPr>
                      <a:picLocks noChangeAspect="1" noChangeArrowheads="1"/>
                    </pic:cNvPicPr>
                  </pic:nvPicPr>
                  <pic:blipFill>
                    <a:blip r:embed="rId90"/>
                    <a:stretch>
                      <a:fillRect/>
                    </a:stretch>
                  </pic:blipFill>
                  <pic:spPr>
                    <a:xfrm>
                      <a:off x="0" y="0"/>
                      <a:ext cx="5334000" cy="2553701"/>
                    </a:xfrm>
                    <a:prstGeom prst="rect">
                      <a:avLst/>
                    </a:prstGeom>
                    <a:noFill/>
                    <a:ln w="9525">
                      <a:noFill/>
                    </a:ln>
                  </pic:spPr>
                </pic:pic>
              </a:graphicData>
            </a:graphic>
          </wp:inline>
        </w:drawing>
      </w:r>
    </w:p>
    <w:bookmarkEnd w:id="65"/>
    <w:p w14:paraId="0C089CCE">
      <w:pPr>
        <w:pStyle w:val="7"/>
      </w:pPr>
      <w:bookmarkStart w:id="66" w:name="居间客户回访"/>
      <w:r>
        <w:t xml:space="preserve">6.3 </w:t>
      </w:r>
      <w:r>
        <w:rPr>
          <w:rFonts w:hint="eastAsia"/>
        </w:rPr>
        <w:t>居间客户回访</w:t>
      </w:r>
    </w:p>
    <w:p w14:paraId="55C121A2">
      <w:pPr>
        <w:pStyle w:val="27"/>
        <w:numPr>
          <w:ilvl w:val="0"/>
          <w:numId w:val="2"/>
        </w:numPr>
      </w:pPr>
      <w:r>
        <w:rPr>
          <w:rFonts w:hint="eastAsia"/>
        </w:rPr>
        <w:t>路径：居间人管理&gt;&gt;居间客户回访管理&gt;&gt;居间客户回访</w:t>
      </w:r>
    </w:p>
    <w:p w14:paraId="2DB4AE55">
      <w:pPr>
        <w:pStyle w:val="26"/>
      </w:pPr>
      <w:r>
        <w:rPr>
          <w:rFonts w:hint="eastAsia"/>
        </w:rPr>
        <w:t>【回访名单生成】界面勾选加入的回访列表，会汇总到此界面展示。</w:t>
      </w:r>
    </w:p>
    <w:p w14:paraId="1AC00120">
      <w:pPr>
        <w:pStyle w:val="3"/>
      </w:pPr>
      <w:r>
        <w:drawing>
          <wp:inline distT="0" distB="0" distL="114300" distR="114300">
            <wp:extent cx="5334000" cy="1329690"/>
            <wp:effectExtent l="0" t="0" r="0" b="0"/>
            <wp:docPr id="336"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Picture" descr="image.png"/>
                    <pic:cNvPicPr>
                      <a:picLocks noChangeAspect="1" noChangeArrowheads="1"/>
                    </pic:cNvPicPr>
                  </pic:nvPicPr>
                  <pic:blipFill>
                    <a:blip r:embed="rId91"/>
                    <a:stretch>
                      <a:fillRect/>
                    </a:stretch>
                  </pic:blipFill>
                  <pic:spPr>
                    <a:xfrm>
                      <a:off x="0" y="0"/>
                      <a:ext cx="5334000" cy="1329932"/>
                    </a:xfrm>
                    <a:prstGeom prst="rect">
                      <a:avLst/>
                    </a:prstGeom>
                    <a:noFill/>
                    <a:ln w="9525">
                      <a:noFill/>
                    </a:ln>
                  </pic:spPr>
                </pic:pic>
              </a:graphicData>
            </a:graphic>
          </wp:inline>
        </w:drawing>
      </w:r>
    </w:p>
    <w:p w14:paraId="3E0C4673">
      <w:pPr>
        <w:pStyle w:val="3"/>
      </w:pPr>
      <w:r>
        <w:rPr>
          <w:rFonts w:hint="eastAsia"/>
          <w:b/>
          <w:bCs/>
        </w:rPr>
        <w:t>同一个客户、同一个日期（操作日期，自然日）</w:t>
      </w:r>
      <w:r>
        <w:rPr>
          <w:rFonts w:hint="eastAsia"/>
        </w:rPr>
        <w:t>，如果因多个回访规则都生成了回访任务，那么系统后台会自动合并为一条任务，涉及的一个或多个原因体现在”回访原因”中，英文逗号间隔处理。</w:t>
      </w:r>
    </w:p>
    <w:p w14:paraId="0DB5B916">
      <w:pPr>
        <w:pStyle w:val="13"/>
      </w:pPr>
      <w:r>
        <w:rPr>
          <w:rFonts w:hint="eastAsia"/>
          <w:b/>
          <w:bCs/>
        </w:rPr>
        <w:t>提示</w:t>
      </w:r>
    </w:p>
    <w:p w14:paraId="6353CF58">
      <w:pPr>
        <w:pStyle w:val="13"/>
      </w:pPr>
      <w:r>
        <w:rPr>
          <w:rFonts w:hint="eastAsia"/>
        </w:rPr>
        <w:t>此界面显示的数据，已经进行了部门数据权限控制，即分支机构人员进入此界面只能看到本部门的客户回访任务数据。</w:t>
      </w:r>
    </w:p>
    <w:p w14:paraId="71185C6B">
      <w:pPr>
        <w:pStyle w:val="26"/>
      </w:pPr>
      <w:r>
        <w:rPr>
          <w:rFonts w:hint="eastAsia"/>
        </w:rPr>
        <w:t>点击任务右边的”回访”超链接，进入回访情况维护界面：</w:t>
      </w:r>
    </w:p>
    <w:p w14:paraId="3E99AA34">
      <w:pPr>
        <w:pStyle w:val="3"/>
      </w:pPr>
      <w:r>
        <w:drawing>
          <wp:inline distT="0" distB="0" distL="114300" distR="114300">
            <wp:extent cx="5334000" cy="1809115"/>
            <wp:effectExtent l="0" t="0" r="0" b="0"/>
            <wp:docPr id="339"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Picture" descr="image.png"/>
                    <pic:cNvPicPr>
                      <a:picLocks noChangeAspect="1" noChangeArrowheads="1"/>
                    </pic:cNvPicPr>
                  </pic:nvPicPr>
                  <pic:blipFill>
                    <a:blip r:embed="rId92"/>
                    <a:stretch>
                      <a:fillRect/>
                    </a:stretch>
                  </pic:blipFill>
                  <pic:spPr>
                    <a:xfrm>
                      <a:off x="0" y="0"/>
                      <a:ext cx="5334000" cy="1809562"/>
                    </a:xfrm>
                    <a:prstGeom prst="rect">
                      <a:avLst/>
                    </a:prstGeom>
                    <a:noFill/>
                    <a:ln w="9525">
                      <a:noFill/>
                    </a:ln>
                  </pic:spPr>
                </pic:pic>
              </a:graphicData>
            </a:graphic>
          </wp:inline>
        </w:drawing>
      </w:r>
    </w:p>
    <w:p w14:paraId="0A5D0C22">
      <w:pPr>
        <w:pStyle w:val="3"/>
      </w:pPr>
      <w:r>
        <w:rPr>
          <w:rFonts w:hint="eastAsia"/>
        </w:rPr>
        <w:t>回访表单支持管理员在【页面配置】中个性化配置：</w:t>
      </w:r>
    </w:p>
    <w:p w14:paraId="5FCB644B">
      <w:pPr>
        <w:pStyle w:val="3"/>
      </w:pPr>
      <w:r>
        <w:drawing>
          <wp:inline distT="0" distB="0" distL="114300" distR="114300">
            <wp:extent cx="5334000" cy="1609725"/>
            <wp:effectExtent l="0" t="0" r="0" b="0"/>
            <wp:docPr id="342"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Picture" descr="image.png"/>
                    <pic:cNvPicPr>
                      <a:picLocks noChangeAspect="1" noChangeArrowheads="1"/>
                    </pic:cNvPicPr>
                  </pic:nvPicPr>
                  <pic:blipFill>
                    <a:blip r:embed="rId93"/>
                    <a:stretch>
                      <a:fillRect/>
                    </a:stretch>
                  </pic:blipFill>
                  <pic:spPr>
                    <a:xfrm>
                      <a:off x="0" y="0"/>
                      <a:ext cx="5334000" cy="1609992"/>
                    </a:xfrm>
                    <a:prstGeom prst="rect">
                      <a:avLst/>
                    </a:prstGeom>
                    <a:noFill/>
                    <a:ln w="9525">
                      <a:noFill/>
                    </a:ln>
                  </pic:spPr>
                </pic:pic>
              </a:graphicData>
            </a:graphic>
          </wp:inline>
        </w:drawing>
      </w:r>
    </w:p>
    <w:p w14:paraId="252859D0">
      <w:pPr>
        <w:pStyle w:val="3"/>
      </w:pPr>
      <w:r>
        <w:drawing>
          <wp:inline distT="0" distB="0" distL="114300" distR="114300">
            <wp:extent cx="5334000" cy="1711325"/>
            <wp:effectExtent l="0" t="0" r="0" b="0"/>
            <wp:docPr id="345"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Picture" descr="image.png"/>
                    <pic:cNvPicPr>
                      <a:picLocks noChangeAspect="1" noChangeArrowheads="1"/>
                    </pic:cNvPicPr>
                  </pic:nvPicPr>
                  <pic:blipFill>
                    <a:blip r:embed="rId94"/>
                    <a:stretch>
                      <a:fillRect/>
                    </a:stretch>
                  </pic:blipFill>
                  <pic:spPr>
                    <a:xfrm>
                      <a:off x="0" y="0"/>
                      <a:ext cx="5334000" cy="1711841"/>
                    </a:xfrm>
                    <a:prstGeom prst="rect">
                      <a:avLst/>
                    </a:prstGeom>
                    <a:noFill/>
                    <a:ln w="9525">
                      <a:noFill/>
                    </a:ln>
                  </pic:spPr>
                </pic:pic>
              </a:graphicData>
            </a:graphic>
          </wp:inline>
        </w:drawing>
      </w:r>
    </w:p>
    <w:p w14:paraId="10BBA6BF">
      <w:pPr>
        <w:pStyle w:val="3"/>
      </w:pPr>
      <w:r>
        <w:rPr>
          <w:rFonts w:hint="eastAsia"/>
          <w:b/>
          <w:bCs/>
        </w:rPr>
        <w:t>“回访状态”：</w:t>
      </w:r>
    </w:p>
    <w:p w14:paraId="402E3457">
      <w:pPr>
        <w:pStyle w:val="27"/>
        <w:numPr>
          <w:ilvl w:val="0"/>
          <w:numId w:val="2"/>
        </w:numPr>
      </w:pPr>
      <w:r>
        <w:rPr>
          <w:rFonts w:hint="eastAsia"/>
        </w:rPr>
        <w:t>选择”择日再回访”、“待回访”或者”回访不成功”，那么提交后此回访任务并未结束，允许再次发起”回访”，“回访完成标志”为”回访待完成”；</w:t>
      </w:r>
    </w:p>
    <w:p w14:paraId="114D4E44">
      <w:pPr>
        <w:pStyle w:val="27"/>
        <w:numPr>
          <w:ilvl w:val="0"/>
          <w:numId w:val="2"/>
        </w:numPr>
      </w:pPr>
      <w:r>
        <w:rPr>
          <w:rFonts w:hint="eastAsia"/>
        </w:rPr>
        <w:t>选择”回访完成”，提交后此回访任务结束，“回访完成标志”会自动更新为”回访完成”；</w:t>
      </w:r>
    </w:p>
    <w:p w14:paraId="5F00C9B8">
      <w:r>
        <w:pict>
          <v:rect id="_x0000_i1029" o:spt="1" style="height:1.5pt;width:0pt;" coordsize="21600,21600" o:hr="t" o:hrstd="t" o:hralign="center">
            <v:path/>
            <v:fill focussize="0,0"/>
            <v:stroke/>
            <v:imagedata o:title=""/>
            <o:lock v:ext="edit"/>
            <w10:wrap type="none"/>
            <w10:anchorlock/>
          </v:rect>
        </w:pict>
      </w:r>
    </w:p>
    <w:bookmarkEnd w:id="27"/>
    <w:bookmarkEnd w:id="54"/>
    <w:bookmarkEnd w:id="63"/>
    <w:bookmarkEnd w:id="66"/>
    <w:p w14:paraId="16B3F18E">
      <w:pPr>
        <w:pStyle w:val="4"/>
      </w:pPr>
      <w:bookmarkStart w:id="67" w:name="_Toc28425"/>
      <w:bookmarkStart w:id="68" w:name="五员工管理模块-使用说明"/>
      <w:r>
        <w:rPr>
          <w:rFonts w:hint="eastAsia"/>
        </w:rPr>
        <w:t>五、员工管理模块</w:t>
      </w:r>
      <w:r>
        <w:t xml:space="preserve"> </w:t>
      </w:r>
      <w:r>
        <w:rPr>
          <w:rFonts w:hint="eastAsia"/>
        </w:rPr>
        <w:t>使用说明</w:t>
      </w:r>
      <w:bookmarkEnd w:id="67"/>
    </w:p>
    <w:p w14:paraId="56668BC6">
      <w:pPr>
        <w:pStyle w:val="5"/>
      </w:pPr>
      <w:bookmarkStart w:id="69" w:name="_Toc18171"/>
      <w:bookmarkStart w:id="70" w:name="员工信息管理"/>
      <w:r>
        <w:t xml:space="preserve">1. </w:t>
      </w:r>
      <w:r>
        <w:rPr>
          <w:rFonts w:hint="eastAsia"/>
        </w:rPr>
        <w:t>员工信息管理</w:t>
      </w:r>
      <w:bookmarkEnd w:id="69"/>
    </w:p>
    <w:p w14:paraId="2C853CB3">
      <w:pPr>
        <w:pStyle w:val="26"/>
      </w:pPr>
      <w:r>
        <w:rPr>
          <w:rFonts w:hint="eastAsia"/>
        </w:rPr>
        <w:t>基本操作与【1.</w:t>
      </w:r>
      <w:r>
        <w:t xml:space="preserve"> </w:t>
      </w:r>
      <w:r>
        <w:rPr>
          <w:rFonts w:hint="eastAsia"/>
        </w:rPr>
        <w:t>居间人信息管理】类似，下面只阐述重点或者特殊功能。</w:t>
      </w:r>
    </w:p>
    <w:p w14:paraId="2F112FEF">
      <w:pPr>
        <w:pStyle w:val="6"/>
      </w:pPr>
      <w:bookmarkStart w:id="71" w:name="员工信息批量导入"/>
      <w:r>
        <w:t xml:space="preserve">1.1. </w:t>
      </w:r>
      <w:r>
        <w:rPr>
          <w:rFonts w:hint="eastAsia"/>
        </w:rPr>
        <w:t>员工信息批量导入</w:t>
      </w:r>
    </w:p>
    <w:p w14:paraId="20B35838">
      <w:pPr>
        <w:pStyle w:val="26"/>
      </w:pPr>
      <w:r>
        <w:rPr>
          <w:rFonts w:hint="eastAsia"/>
        </w:rPr>
        <w:t>注意，必须完成所有必填项的填写后，方能录入。查看有哪些必填项，可进入”员工信息维护--》新增”页面查看。</w:t>
      </w:r>
    </w:p>
    <w:p w14:paraId="13CD5C1A">
      <w:pPr>
        <w:pStyle w:val="3"/>
      </w:pPr>
      <w:r>
        <w:rPr>
          <w:rFonts w:hint="eastAsia"/>
        </w:rPr>
        <w:t>其他操作与【1.5</w:t>
      </w:r>
      <w:r>
        <w:t xml:space="preserve"> </w:t>
      </w:r>
      <w:r>
        <w:rPr>
          <w:rFonts w:hint="eastAsia"/>
        </w:rPr>
        <w:t>居间人信息批量导入】类似。</w:t>
      </w:r>
    </w:p>
    <w:bookmarkEnd w:id="70"/>
    <w:bookmarkEnd w:id="71"/>
    <w:p w14:paraId="067ACC9D">
      <w:pPr>
        <w:pStyle w:val="5"/>
      </w:pPr>
      <w:bookmarkStart w:id="72" w:name="_Toc1207"/>
      <w:bookmarkStart w:id="73" w:name="员工业绩关系管理"/>
      <w:r>
        <w:t xml:space="preserve">2. </w:t>
      </w:r>
      <w:r>
        <w:rPr>
          <w:rFonts w:hint="eastAsia"/>
        </w:rPr>
        <w:t>员工业绩关系管理</w:t>
      </w:r>
      <w:bookmarkEnd w:id="72"/>
    </w:p>
    <w:p w14:paraId="6D5D0D82">
      <w:pPr>
        <w:pStyle w:val="26"/>
      </w:pPr>
      <w:r>
        <w:rPr>
          <w:rFonts w:hint="eastAsia"/>
        </w:rPr>
        <w:t>基本操作与【1.</w:t>
      </w:r>
      <w:r>
        <w:t xml:space="preserve"> </w:t>
      </w:r>
      <w:r>
        <w:rPr>
          <w:rFonts w:hint="eastAsia"/>
        </w:rPr>
        <w:t>居间人信息管理】类似，下面只阐述重点或者特殊功能。</w:t>
      </w:r>
    </w:p>
    <w:p w14:paraId="54FC9A20">
      <w:pPr>
        <w:pStyle w:val="6"/>
      </w:pPr>
      <w:bookmarkStart w:id="74" w:name="员工业绩关系维护"/>
      <w:r>
        <w:t xml:space="preserve">2.1. </w:t>
      </w:r>
      <w:r>
        <w:rPr>
          <w:rFonts w:hint="eastAsia"/>
        </w:rPr>
        <w:t>员工业绩关系维护</w:t>
      </w:r>
    </w:p>
    <w:p w14:paraId="003C895A">
      <w:pPr>
        <w:pStyle w:val="26"/>
      </w:pPr>
      <w:r>
        <w:rPr>
          <w:rFonts w:hint="eastAsia"/>
        </w:rPr>
        <w:t>点击【导出】将会导出已查询出来的列表内的所有结果。</w:t>
      </w:r>
    </w:p>
    <w:p w14:paraId="1B8D5BDB">
      <w:pPr>
        <w:pStyle w:val="3"/>
      </w:pPr>
      <w:r>
        <w:rPr>
          <w:rFonts w:hint="eastAsia"/>
        </w:rPr>
        <w:t>选中多条记录，可以【删除】或者【批量修改】。</w:t>
      </w:r>
    </w:p>
    <w:p w14:paraId="4BD57D78">
      <w:pPr>
        <w:pStyle w:val="3"/>
      </w:pPr>
      <w:r>
        <w:rPr>
          <w:rFonts w:hint="eastAsia"/>
        </w:rPr>
        <w:t>【批量修改】时，针对要修改更新的字段，需要勾选中前面的复选框，提交后系统针对本次要批量修改记录的选中字段，会默认统一修改为设置的内容；</w:t>
      </w:r>
    </w:p>
    <w:p w14:paraId="7298E262">
      <w:pPr>
        <w:pStyle w:val="3"/>
      </w:pPr>
      <w:r>
        <w:drawing>
          <wp:inline distT="0" distB="0" distL="114300" distR="114300">
            <wp:extent cx="5334000" cy="2514600"/>
            <wp:effectExtent l="0" t="0" r="0" b="0"/>
            <wp:docPr id="354"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Picture" descr="image.png"/>
                    <pic:cNvPicPr>
                      <a:picLocks noChangeAspect="1" noChangeArrowheads="1"/>
                    </pic:cNvPicPr>
                  </pic:nvPicPr>
                  <pic:blipFill>
                    <a:blip r:embed="rId95"/>
                    <a:stretch>
                      <a:fillRect/>
                    </a:stretch>
                  </pic:blipFill>
                  <pic:spPr>
                    <a:xfrm>
                      <a:off x="0" y="0"/>
                      <a:ext cx="5334000" cy="2515034"/>
                    </a:xfrm>
                    <a:prstGeom prst="rect">
                      <a:avLst/>
                    </a:prstGeom>
                    <a:noFill/>
                    <a:ln w="9525">
                      <a:noFill/>
                    </a:ln>
                  </pic:spPr>
                </pic:pic>
              </a:graphicData>
            </a:graphic>
          </wp:inline>
        </w:drawing>
      </w:r>
    </w:p>
    <w:p w14:paraId="18121BDC">
      <w:pPr>
        <w:pStyle w:val="13"/>
      </w:pPr>
      <w:r>
        <w:rPr>
          <w:rFonts w:hint="eastAsia"/>
          <w:b/>
          <w:bCs/>
        </w:rPr>
        <w:t>注意</w:t>
      </w:r>
    </w:p>
    <w:p w14:paraId="77C7CD88">
      <w:pPr>
        <w:pStyle w:val="13"/>
      </w:pPr>
      <w:r>
        <w:rPr>
          <w:rFonts w:hint="eastAsia"/>
        </w:rPr>
        <w:t>不需要修改的要素，一定不要勾选中！</w:t>
      </w:r>
    </w:p>
    <w:p w14:paraId="6F5F120B">
      <w:pPr>
        <w:pStyle w:val="26"/>
      </w:pPr>
      <w:r>
        <w:rPr>
          <w:rFonts w:hint="eastAsia"/>
        </w:rPr>
        <w:t>选中</w:t>
      </w:r>
      <w:r>
        <w:rPr>
          <w:rFonts w:hint="eastAsia"/>
          <w:b/>
          <w:bCs/>
        </w:rPr>
        <w:t>单条记录</w:t>
      </w:r>
      <w:r>
        <w:rPr>
          <w:rFonts w:hint="eastAsia"/>
        </w:rPr>
        <w:t>，可以点击【批量转移】，将对应员工下的多条业绩关系批量转移给其他员工：</w:t>
      </w:r>
    </w:p>
    <w:p w14:paraId="1DB42233">
      <w:pPr>
        <w:pStyle w:val="3"/>
      </w:pPr>
      <w:r>
        <w:drawing>
          <wp:inline distT="0" distB="0" distL="114300" distR="114300">
            <wp:extent cx="5334000" cy="3005455"/>
            <wp:effectExtent l="0" t="0" r="0" b="0"/>
            <wp:docPr id="357"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Picture" descr="image.png"/>
                    <pic:cNvPicPr>
                      <a:picLocks noChangeAspect="1" noChangeArrowheads="1"/>
                    </pic:cNvPicPr>
                  </pic:nvPicPr>
                  <pic:blipFill>
                    <a:blip r:embed="rId96"/>
                    <a:stretch>
                      <a:fillRect/>
                    </a:stretch>
                  </pic:blipFill>
                  <pic:spPr>
                    <a:xfrm>
                      <a:off x="0" y="0"/>
                      <a:ext cx="5334000" cy="3005900"/>
                    </a:xfrm>
                    <a:prstGeom prst="rect">
                      <a:avLst/>
                    </a:prstGeom>
                    <a:noFill/>
                    <a:ln w="9525">
                      <a:noFill/>
                    </a:ln>
                  </pic:spPr>
                </pic:pic>
              </a:graphicData>
            </a:graphic>
          </wp:inline>
        </w:drawing>
      </w:r>
    </w:p>
    <w:p w14:paraId="67308D1F">
      <w:pPr>
        <w:pStyle w:val="3"/>
      </w:pPr>
      <w:r>
        <w:rPr>
          <w:rFonts w:hint="eastAsia"/>
        </w:rPr>
        <w:t>系统默认显示当前业务人员名下存在业绩关系的所有客户清单：</w:t>
      </w:r>
    </w:p>
    <w:p w14:paraId="3514F2DF">
      <w:pPr>
        <w:pStyle w:val="3"/>
      </w:pPr>
      <w:r>
        <w:drawing>
          <wp:inline distT="0" distB="0" distL="114300" distR="114300">
            <wp:extent cx="5334000" cy="3816350"/>
            <wp:effectExtent l="0" t="0" r="0" b="0"/>
            <wp:docPr id="360"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Picture" descr="image.png"/>
                    <pic:cNvPicPr>
                      <a:picLocks noChangeAspect="1" noChangeArrowheads="1"/>
                    </pic:cNvPicPr>
                  </pic:nvPicPr>
                  <pic:blipFill>
                    <a:blip r:embed="rId97"/>
                    <a:stretch>
                      <a:fillRect/>
                    </a:stretch>
                  </pic:blipFill>
                  <pic:spPr>
                    <a:xfrm>
                      <a:off x="0" y="0"/>
                      <a:ext cx="5334000" cy="3816902"/>
                    </a:xfrm>
                    <a:prstGeom prst="rect">
                      <a:avLst/>
                    </a:prstGeom>
                    <a:noFill/>
                    <a:ln w="9525">
                      <a:noFill/>
                    </a:ln>
                  </pic:spPr>
                </pic:pic>
              </a:graphicData>
            </a:graphic>
          </wp:inline>
        </w:drawing>
      </w:r>
    </w:p>
    <w:p w14:paraId="3E42D975">
      <w:pPr>
        <w:pStyle w:val="13"/>
      </w:pPr>
      <w:r>
        <w:rPr>
          <w:rFonts w:hint="eastAsia"/>
          <w:b/>
          <w:bCs/>
        </w:rPr>
        <w:t>注意</w:t>
      </w:r>
    </w:p>
    <w:p w14:paraId="240F9EA8">
      <w:pPr>
        <w:pStyle w:val="13"/>
      </w:pPr>
      <w:r>
        <w:rPr>
          <w:rFonts w:hint="eastAsia"/>
        </w:rPr>
        <w:t>“调整后业务人员代码”不设置，则不产生转移效果，仅相当于修改原业务人员与选中客户的”关系状态”和”终止日期”；</w:t>
      </w:r>
    </w:p>
    <w:p w14:paraId="321926B4">
      <w:pPr>
        <w:pStyle w:val="13"/>
      </w:pPr>
      <w:r>
        <w:rPr>
          <w:rFonts w:hint="eastAsia"/>
        </w:rPr>
        <w:t>“开始日期”为必填项，必须勾选并填写对应内容（默认今日）。</w:t>
      </w:r>
    </w:p>
    <w:p w14:paraId="0188E551">
      <w:pPr>
        <w:pStyle w:val="13"/>
      </w:pPr>
      <w:r>
        <w:rPr>
          <w:rFonts w:hint="eastAsia"/>
        </w:rPr>
        <w:t>“旧关系中止日期”和新关系的”开始日期”，不应该有交叉；</w:t>
      </w:r>
    </w:p>
    <w:p w14:paraId="67710225">
      <w:pPr>
        <w:pStyle w:val="13"/>
      </w:pPr>
      <w:r>
        <w:rPr>
          <w:rFonts w:hint="eastAsia"/>
        </w:rPr>
        <w:t>“忽略关系类型检查”：当确实跨人员类型转移（居间转员工、员工转居间等）时，则需要勾选此项，否则系统报错；</w:t>
      </w:r>
    </w:p>
    <w:p w14:paraId="2ECF7CA8">
      <w:pPr>
        <w:pStyle w:val="26"/>
      </w:pPr>
      <w:r>
        <w:rPr>
          <w:rFonts w:hint="eastAsia"/>
        </w:rPr>
        <w:t>此处的”新关系类型”默认显示了所有的</w:t>
      </w:r>
      <w:r>
        <w:t xml:space="preserve"> </w:t>
      </w:r>
      <w:r>
        <w:rPr>
          <w:rFonts w:hint="eastAsia"/>
        </w:rPr>
        <w:t>[居间业绩关系类型|员工业绩类型]，因为可能会存在比如居间关系终止后、需要将其名下客户全部转移到员工名下的情况。</w:t>
      </w:r>
    </w:p>
    <w:p w14:paraId="6ED1D810">
      <w:pPr>
        <w:pStyle w:val="3"/>
      </w:pPr>
      <w:r>
        <w:drawing>
          <wp:inline distT="0" distB="0" distL="114300" distR="114300">
            <wp:extent cx="5334000" cy="4108450"/>
            <wp:effectExtent l="0" t="0" r="0" b="0"/>
            <wp:docPr id="363"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Picture" descr="image.png"/>
                    <pic:cNvPicPr>
                      <a:picLocks noChangeAspect="1" noChangeArrowheads="1"/>
                    </pic:cNvPicPr>
                  </pic:nvPicPr>
                  <pic:blipFill>
                    <a:blip r:embed="rId98"/>
                    <a:stretch>
                      <a:fillRect/>
                    </a:stretch>
                  </pic:blipFill>
                  <pic:spPr>
                    <a:xfrm>
                      <a:off x="0" y="0"/>
                      <a:ext cx="5334000" cy="4108621"/>
                    </a:xfrm>
                    <a:prstGeom prst="rect">
                      <a:avLst/>
                    </a:prstGeom>
                    <a:noFill/>
                    <a:ln w="9525">
                      <a:noFill/>
                    </a:ln>
                  </pic:spPr>
                </pic:pic>
              </a:graphicData>
            </a:graphic>
          </wp:inline>
        </w:drawing>
      </w:r>
    </w:p>
    <w:p w14:paraId="007DAB2C">
      <w:pPr>
        <w:pStyle w:val="3"/>
      </w:pPr>
      <w:r>
        <w:rPr>
          <w:rFonts w:hint="eastAsia"/>
        </w:rPr>
        <w:t>批量转移操作提交成功，则系统会针对原业务人员与客户的业绩关系提交一条”修改”申请，针对新业务人员与客户的业绩关系提交一条”新增”申请。</w:t>
      </w:r>
    </w:p>
    <w:bookmarkEnd w:id="73"/>
    <w:bookmarkEnd w:id="74"/>
    <w:p w14:paraId="45D5D659">
      <w:pPr>
        <w:pStyle w:val="5"/>
      </w:pPr>
      <w:bookmarkStart w:id="75" w:name="_Toc2423"/>
      <w:bookmarkStart w:id="76" w:name="员工业绩公式管理"/>
      <w:r>
        <w:t xml:space="preserve">3. </w:t>
      </w:r>
      <w:r>
        <w:rPr>
          <w:rFonts w:hint="eastAsia"/>
        </w:rPr>
        <w:t>员工业绩公式管理</w:t>
      </w:r>
      <w:bookmarkEnd w:id="75"/>
    </w:p>
    <w:p w14:paraId="365803A4">
      <w:pPr>
        <w:pStyle w:val="26"/>
      </w:pPr>
      <w:r>
        <w:rPr>
          <w:rFonts w:hint="eastAsia"/>
        </w:rPr>
        <w:t>与【3.</w:t>
      </w:r>
      <w:r>
        <w:t xml:space="preserve"> </w:t>
      </w:r>
      <w:r>
        <w:rPr>
          <w:rFonts w:hint="eastAsia"/>
        </w:rPr>
        <w:t>居间业绩公式管理】类似，不再赘述。</w:t>
      </w:r>
    </w:p>
    <w:bookmarkEnd w:id="76"/>
    <w:p w14:paraId="1D4A59C9">
      <w:pPr>
        <w:pStyle w:val="5"/>
      </w:pPr>
      <w:bookmarkStart w:id="77" w:name="_Toc21835"/>
      <w:bookmarkStart w:id="78" w:name="业绩报表-1"/>
      <w:r>
        <w:t xml:space="preserve">4. </w:t>
      </w:r>
      <w:r>
        <w:rPr>
          <w:rFonts w:hint="eastAsia"/>
        </w:rPr>
        <w:t>业绩报表</w:t>
      </w:r>
      <w:bookmarkEnd w:id="77"/>
    </w:p>
    <w:p w14:paraId="76E70EF1">
      <w:pPr>
        <w:pStyle w:val="6"/>
      </w:pPr>
      <w:bookmarkStart w:id="79" w:name="员工月度业绩报表"/>
      <w:r>
        <w:t xml:space="preserve">4.1. </w:t>
      </w:r>
      <w:r>
        <w:rPr>
          <w:rFonts w:hint="eastAsia"/>
        </w:rPr>
        <w:t>员工月度业绩报表</w:t>
      </w:r>
    </w:p>
    <w:p w14:paraId="389FD431">
      <w:pPr>
        <w:pStyle w:val="26"/>
      </w:pPr>
      <w:r>
        <w:rPr>
          <w:rFonts w:hint="eastAsia"/>
        </w:rPr>
        <w:t>该报表的表头（展示的字段列），也会因各家公司业务人员考核办法需要和使用习惯的差异而有所不同。、</w:t>
      </w:r>
    </w:p>
    <w:bookmarkEnd w:id="79"/>
    <w:p w14:paraId="39C49328">
      <w:pPr>
        <w:pStyle w:val="6"/>
      </w:pPr>
      <w:bookmarkStart w:id="80" w:name="客户价值贡献表"/>
      <w:r>
        <w:t xml:space="preserve">4.2 </w:t>
      </w:r>
      <w:r>
        <w:rPr>
          <w:rFonts w:hint="eastAsia"/>
        </w:rPr>
        <w:t>客户价值贡献表</w:t>
      </w:r>
    </w:p>
    <w:p w14:paraId="17BF6F26">
      <w:pPr>
        <w:pStyle w:val="26"/>
      </w:pPr>
      <w:r>
        <w:rPr>
          <w:rFonts w:hint="eastAsia"/>
        </w:rPr>
        <w:t>此报表用以展示在指定时间区间内所有客户给公司带来的净贡献信息。</w:t>
      </w:r>
    </w:p>
    <w:p w14:paraId="235FCFAF">
      <w:pPr>
        <w:pStyle w:val="3"/>
      </w:pPr>
      <w:r>
        <w:drawing>
          <wp:inline distT="0" distB="0" distL="114300" distR="114300">
            <wp:extent cx="5334000" cy="1294130"/>
            <wp:effectExtent l="0" t="0" r="0" b="0"/>
            <wp:docPr id="370"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Picture" descr="image.png"/>
                    <pic:cNvPicPr>
                      <a:picLocks noChangeAspect="1" noChangeArrowheads="1"/>
                    </pic:cNvPicPr>
                  </pic:nvPicPr>
                  <pic:blipFill>
                    <a:blip r:embed="rId99"/>
                    <a:stretch>
                      <a:fillRect/>
                    </a:stretch>
                  </pic:blipFill>
                  <pic:spPr>
                    <a:xfrm>
                      <a:off x="0" y="0"/>
                      <a:ext cx="5334000" cy="1294536"/>
                    </a:xfrm>
                    <a:prstGeom prst="rect">
                      <a:avLst/>
                    </a:prstGeom>
                    <a:noFill/>
                    <a:ln w="9525">
                      <a:noFill/>
                    </a:ln>
                  </pic:spPr>
                </pic:pic>
              </a:graphicData>
            </a:graphic>
          </wp:inline>
        </w:drawing>
      </w:r>
    </w:p>
    <w:p w14:paraId="6146B295">
      <w:pPr>
        <w:pStyle w:val="27"/>
        <w:numPr>
          <w:ilvl w:val="0"/>
          <w:numId w:val="2"/>
        </w:numPr>
      </w:pPr>
      <w:r>
        <w:rPr>
          <w:rFonts w:hint="eastAsia"/>
        </w:rPr>
        <w:t>统计分类：支持“投资者明细”和按“营业部汇总”；</w:t>
      </w:r>
    </w:p>
    <w:p w14:paraId="1E834928">
      <w:pPr>
        <w:pStyle w:val="27"/>
        <w:numPr>
          <w:ilvl w:val="0"/>
          <w:numId w:val="2"/>
        </w:numPr>
      </w:pPr>
      <w:r>
        <w:rPr>
          <w:rFonts w:hint="eastAsia"/>
        </w:rPr>
        <w:t>机构类型：支持选项包括“按组织架构”、“二级部门”</w:t>
      </w:r>
      <w:r>
        <w:t>、</w:t>
      </w:r>
      <w:r>
        <w:rPr>
          <w:rFonts w:hint="eastAsia"/>
        </w:rPr>
        <w:t>“按营业部”</w:t>
      </w:r>
      <w:r>
        <w:t>、</w:t>
      </w:r>
      <w:r>
        <w:rPr>
          <w:rFonts w:hint="eastAsia"/>
        </w:rPr>
        <w:t>“公司”；</w:t>
      </w:r>
    </w:p>
    <w:p w14:paraId="32E1A03B">
      <w:pPr>
        <w:pStyle w:val="27"/>
        <w:numPr>
          <w:ilvl w:val="0"/>
          <w:numId w:val="2"/>
        </w:numPr>
      </w:pPr>
      <w:r>
        <w:rPr>
          <w:rFonts w:hint="eastAsia"/>
        </w:rPr>
        <w:t>机构归属：区分“历史归属”和“最新归属”；</w:t>
      </w:r>
    </w:p>
    <w:p w14:paraId="50A9370A">
      <w:pPr>
        <w:pStyle w:val="26"/>
      </w:pPr>
      <w:r>
        <w:rPr>
          <w:rFonts w:hint="eastAsia"/>
        </w:rPr>
        <w:t>查询结果主要包含如下几部分：</w:t>
      </w:r>
    </w:p>
    <w:p w14:paraId="7ACB117F">
      <w:pPr>
        <w:pStyle w:val="27"/>
        <w:numPr>
          <w:ilvl w:val="0"/>
          <w:numId w:val="2"/>
        </w:numPr>
      </w:pPr>
      <w:r>
        <w:rPr>
          <w:rFonts w:hint="eastAsia"/>
        </w:rPr>
        <w:t>基本信息：统计区间、营业部、资金账号、客户名称；</w:t>
      </w:r>
    </w:p>
    <w:p w14:paraId="17587084">
      <w:pPr>
        <w:pStyle w:val="27"/>
        <w:numPr>
          <w:ilvl w:val="0"/>
          <w:numId w:val="2"/>
        </w:numPr>
      </w:pPr>
      <w:r>
        <w:rPr>
          <w:rFonts w:hint="eastAsia"/>
        </w:rPr>
        <w:t>权益类：即投资者期初权益、期末权益及日均权益，期间产生的出入金等；</w:t>
      </w:r>
    </w:p>
    <w:p w14:paraId="7096D82F">
      <w:pPr>
        <w:pStyle w:val="27"/>
        <w:numPr>
          <w:ilvl w:val="0"/>
          <w:numId w:val="2"/>
        </w:numPr>
      </w:pPr>
      <w:r>
        <w:rPr>
          <w:rFonts w:hint="eastAsia"/>
        </w:rPr>
        <w:t>成交类：即投资者在期间产生的成交信息及盈亏等；</w:t>
      </w:r>
    </w:p>
    <w:p w14:paraId="2B93C1CF">
      <w:pPr>
        <w:pStyle w:val="27"/>
        <w:numPr>
          <w:ilvl w:val="0"/>
          <w:numId w:val="2"/>
        </w:numPr>
      </w:pPr>
      <w:r>
        <w:rPr>
          <w:rFonts w:hint="eastAsia"/>
        </w:rPr>
        <w:t>收入项：包括</w:t>
      </w:r>
      <w:r>
        <w:t xml:space="preserve"> </w:t>
      </w:r>
      <w:r>
        <w:rPr>
          <w:rFonts w:hint="eastAsia"/>
        </w:rPr>
        <w:t>留存、交返（交易所减收）、利息等各种创收数据；</w:t>
      </w:r>
    </w:p>
    <w:p w14:paraId="5F4786B2">
      <w:pPr>
        <w:pStyle w:val="27"/>
        <w:numPr>
          <w:ilvl w:val="0"/>
          <w:numId w:val="2"/>
        </w:numPr>
      </w:pPr>
      <w:r>
        <w:rPr>
          <w:rFonts w:hint="eastAsia"/>
        </w:rPr>
        <w:t>支出项：各种税费、客户自身留存返&amp;交返&amp;利返、居间人的三种返还、员工的三种返还，可能还会包括公司的各种手工调整数据等；</w:t>
      </w:r>
    </w:p>
    <w:p w14:paraId="4C29C3E7">
      <w:pPr>
        <w:pStyle w:val="27"/>
        <w:numPr>
          <w:ilvl w:val="0"/>
          <w:numId w:val="2"/>
        </w:numPr>
      </w:pPr>
      <w:r>
        <w:rPr>
          <w:rFonts w:hint="eastAsia"/>
        </w:rPr>
        <w:t>净贡献：收入项与支出项的轧差。</w:t>
      </w:r>
    </w:p>
    <w:p w14:paraId="25C695D6">
      <w:r>
        <w:pict>
          <v:rect id="_x0000_i1030" o:spt="1" style="height:1.5pt;width:0pt;" coordsize="21600,21600" o:hr="t" o:hrstd="t" o:hralign="center">
            <v:path/>
            <v:fill focussize="0,0"/>
            <v:stroke/>
            <v:imagedata o:title=""/>
            <o:lock v:ext="edit"/>
            <w10:wrap type="none"/>
            <w10:anchorlock/>
          </v:rect>
        </w:pict>
      </w:r>
    </w:p>
    <w:bookmarkEnd w:id="68"/>
    <w:bookmarkEnd w:id="78"/>
    <w:bookmarkEnd w:id="80"/>
    <w:p w14:paraId="575D7319">
      <w:pPr>
        <w:pStyle w:val="4"/>
      </w:pPr>
      <w:bookmarkStart w:id="81" w:name="_Toc26566"/>
      <w:bookmarkStart w:id="82" w:name="六交易所返还管理"/>
      <w:r>
        <w:rPr>
          <w:rFonts w:hint="eastAsia"/>
        </w:rPr>
        <w:t>六、交易所返还管理</w:t>
      </w:r>
      <w:bookmarkEnd w:id="81"/>
    </w:p>
    <w:p w14:paraId="622927E3">
      <w:pPr>
        <w:pStyle w:val="26"/>
      </w:pPr>
      <w:r>
        <w:rPr>
          <w:rFonts w:hint="eastAsia"/>
        </w:rPr>
        <w:t>针对各期货交易所手续费减收业务（通常也会称作”交易所返还业务”，简称”交返”），系统支持交返收入（交易所返给公司）计算、交返支出（公司返给投资者、居间、员工等各种主体）计算。</w:t>
      </w:r>
    </w:p>
    <w:p w14:paraId="0675E978">
      <w:pPr>
        <w:pStyle w:val="3"/>
      </w:pPr>
      <w:r>
        <w:rPr>
          <w:rFonts w:hint="eastAsia"/>
        </w:rPr>
        <w:t>随着交易所交返业务规则不断变更、以及期货公司针对交返支出个性化管理的需要，该模块下的功能也在不断的扩展；下面从公司交返收入和交返支出这两个角度来区分通用版本基本功能菜单的用途。</w:t>
      </w:r>
    </w:p>
    <w:p w14:paraId="705C5D33">
      <w:pPr>
        <w:pStyle w:val="3"/>
      </w:pPr>
      <w:r>
        <w:drawing>
          <wp:inline distT="0" distB="0" distL="114300" distR="114300">
            <wp:extent cx="5334000" cy="8827135"/>
            <wp:effectExtent l="0" t="0" r="0" b="0"/>
            <wp:docPr id="376"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Picture" descr="image.png"/>
                    <pic:cNvPicPr>
                      <a:picLocks noChangeAspect="1" noChangeArrowheads="1"/>
                    </pic:cNvPicPr>
                  </pic:nvPicPr>
                  <pic:blipFill>
                    <a:blip r:embed="rId100"/>
                    <a:stretch>
                      <a:fillRect/>
                    </a:stretch>
                  </pic:blipFill>
                  <pic:spPr>
                    <a:xfrm>
                      <a:off x="0" y="0"/>
                      <a:ext cx="5334000" cy="8827270"/>
                    </a:xfrm>
                    <a:prstGeom prst="rect">
                      <a:avLst/>
                    </a:prstGeom>
                    <a:noFill/>
                    <a:ln w="9525">
                      <a:noFill/>
                    </a:ln>
                  </pic:spPr>
                </pic:pic>
              </a:graphicData>
            </a:graphic>
          </wp:inline>
        </w:drawing>
      </w:r>
    </w:p>
    <w:p w14:paraId="04096A23">
      <w:pPr>
        <w:pStyle w:val="3"/>
      </w:pPr>
      <w:r>
        <w:rPr>
          <w:rFonts w:hint="eastAsia"/>
        </w:rPr>
        <w:t>总的来说，收入部分的基本菜单，各家期货公司看到的结构基本一致。而支出部分，是跟各家佣金提成考核办法紧密相关，每家看到的菜单数和功能界面可能均会有一定差异，本文档仅介绍通用基本情况。</w:t>
      </w:r>
    </w:p>
    <w:p w14:paraId="3A7F80A9">
      <w:pPr>
        <w:pStyle w:val="5"/>
      </w:pPr>
      <w:bookmarkStart w:id="83" w:name="_Toc481"/>
      <w:bookmarkStart w:id="84" w:name="交易所返还基础数据查询"/>
      <w:r>
        <w:rPr>
          <w:rFonts w:hint="eastAsia"/>
        </w:rPr>
        <w:t>1.交易所返还基础数据查询</w:t>
      </w:r>
      <w:bookmarkEnd w:id="83"/>
    </w:p>
    <w:p w14:paraId="5D927DAC">
      <w:pPr>
        <w:pStyle w:val="26"/>
      </w:pPr>
      <w:r>
        <w:rPr>
          <w:rFonts w:hint="eastAsia"/>
        </w:rPr>
        <w:t>此菜单用以查询一段时间内每个投资者给公司带来的各交易所手续费减收情况，包括交易手续费每日直减、及各种持仓达标返还类型。</w:t>
      </w:r>
    </w:p>
    <w:p w14:paraId="17A8E894">
      <w:pPr>
        <w:pStyle w:val="3"/>
      </w:pPr>
      <w:r>
        <w:drawing>
          <wp:inline distT="0" distB="0" distL="114300" distR="114300">
            <wp:extent cx="5334000" cy="1289685"/>
            <wp:effectExtent l="0" t="0" r="0" b="0"/>
            <wp:docPr id="379"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Picture" descr="image.png"/>
                    <pic:cNvPicPr>
                      <a:picLocks noChangeAspect="1" noChangeArrowheads="1"/>
                    </pic:cNvPicPr>
                  </pic:nvPicPr>
                  <pic:blipFill>
                    <a:blip r:embed="rId101"/>
                    <a:stretch>
                      <a:fillRect/>
                    </a:stretch>
                  </pic:blipFill>
                  <pic:spPr>
                    <a:xfrm>
                      <a:off x="0" y="0"/>
                      <a:ext cx="5334000" cy="1290114"/>
                    </a:xfrm>
                    <a:prstGeom prst="rect">
                      <a:avLst/>
                    </a:prstGeom>
                    <a:noFill/>
                    <a:ln w="9525">
                      <a:noFill/>
                    </a:ln>
                  </pic:spPr>
                </pic:pic>
              </a:graphicData>
            </a:graphic>
          </wp:inline>
        </w:drawing>
      </w:r>
    </w:p>
    <w:bookmarkEnd w:id="84"/>
    <w:p w14:paraId="429FAEC6">
      <w:pPr>
        <w:pStyle w:val="5"/>
      </w:pPr>
      <w:bookmarkStart w:id="85" w:name="_Toc25753"/>
      <w:bookmarkStart w:id="86" w:name="交易所返还基础数据计算"/>
      <w:r>
        <w:rPr>
          <w:rFonts w:hint="eastAsia"/>
        </w:rPr>
        <w:t>2.交易所返还基础数据计算</w:t>
      </w:r>
      <w:bookmarkEnd w:id="85"/>
    </w:p>
    <w:p w14:paraId="111A27BD">
      <w:pPr>
        <w:pStyle w:val="26"/>
      </w:pPr>
      <w:r>
        <w:rPr>
          <w:rFonts w:hint="eastAsia"/>
        </w:rPr>
        <w:t>此菜单为应急计算功能，当发生基础比例变更、基础参数导入等调整操作时，需要立即核对交易所返还公司部分的数据时使用。通常大概率，是针对上一个周期进行重算，那么只要将“数据日期”选定在周期内的任意日期即可；点击【RUN】按钮，发起计算请求，等待系统反馈计算完成。</w:t>
      </w:r>
    </w:p>
    <w:p w14:paraId="5E3D6352">
      <w:pPr>
        <w:pStyle w:val="3"/>
      </w:pPr>
      <w:r>
        <w:drawing>
          <wp:inline distT="0" distB="0" distL="114300" distR="114300">
            <wp:extent cx="3876675" cy="800100"/>
            <wp:effectExtent l="0" t="0" r="0" b="0"/>
            <wp:docPr id="383"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Picture" descr="image.png"/>
                    <pic:cNvPicPr>
                      <a:picLocks noChangeAspect="1" noChangeArrowheads="1"/>
                    </pic:cNvPicPr>
                  </pic:nvPicPr>
                  <pic:blipFill>
                    <a:blip r:embed="rId102"/>
                    <a:stretch>
                      <a:fillRect/>
                    </a:stretch>
                  </pic:blipFill>
                  <pic:spPr>
                    <a:xfrm>
                      <a:off x="0" y="0"/>
                      <a:ext cx="3877199" cy="800208"/>
                    </a:xfrm>
                    <a:prstGeom prst="rect">
                      <a:avLst/>
                    </a:prstGeom>
                    <a:noFill/>
                    <a:ln w="9525">
                      <a:noFill/>
                    </a:ln>
                  </pic:spPr>
                </pic:pic>
              </a:graphicData>
            </a:graphic>
          </wp:inline>
        </w:drawing>
      </w:r>
    </w:p>
    <w:p w14:paraId="7FAAA0AE">
      <w:pPr>
        <w:pStyle w:val="3"/>
      </w:pPr>
      <w:r>
        <w:rPr>
          <w:rFonts w:hint="eastAsia"/>
        </w:rPr>
        <w:t>正常情况下，系统每天盘后跑批会自动计算每日直减数据；而持仓达标类减收数据，系统每天跑批只能预测，待当期期末+基础参数维护到位后，当期最后一次盘后跑批时才能够计算到位。</w:t>
      </w:r>
    </w:p>
    <w:bookmarkEnd w:id="86"/>
    <w:p w14:paraId="2E802E43">
      <w:pPr>
        <w:pStyle w:val="5"/>
      </w:pPr>
      <w:bookmarkStart w:id="87" w:name="_Toc30795"/>
      <w:bookmarkStart w:id="88" w:name="交易所持仓返还达标测算"/>
      <w:r>
        <w:rPr>
          <w:rFonts w:hint="eastAsia"/>
        </w:rPr>
        <w:t>3.交易所持仓返还达标测算</w:t>
      </w:r>
      <w:bookmarkEnd w:id="87"/>
    </w:p>
    <w:p w14:paraId="37883459">
      <w:pPr>
        <w:pStyle w:val="26"/>
      </w:pPr>
      <w:r>
        <w:rPr>
          <w:rFonts w:hint="eastAsia"/>
        </w:rPr>
        <w:t>此菜单为月中进行持仓达标情况预测的功能；用于在月中及时查看各个交易所持仓达标返还类型中涉及的各品种、本公司当前是否达标的情况，将各个交易所的持仓返还类型数据以横向列字段的方式扩展显示，并根据各交易所的返还标准显示当前缺口数据，方便业务人员及时关注到有缺口的品种及缺口大小，以便及时做出相应努力为公司争取到更大的持仓返还额度。此处查询的为T-1日盘后结果，不是T日盘中实时情况。</w:t>
      </w:r>
    </w:p>
    <w:p w14:paraId="16062B31">
      <w:pPr>
        <w:pStyle w:val="3"/>
      </w:pPr>
      <w:r>
        <w:drawing>
          <wp:inline distT="0" distB="0" distL="114300" distR="114300">
            <wp:extent cx="5334000" cy="1026795"/>
            <wp:effectExtent l="0" t="0" r="0" b="0"/>
            <wp:docPr id="387"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Picture" descr="image.png"/>
                    <pic:cNvPicPr>
                      <a:picLocks noChangeAspect="1" noChangeArrowheads="1"/>
                    </pic:cNvPicPr>
                  </pic:nvPicPr>
                  <pic:blipFill>
                    <a:blip r:embed="rId103"/>
                    <a:stretch>
                      <a:fillRect/>
                    </a:stretch>
                  </pic:blipFill>
                  <pic:spPr>
                    <a:xfrm>
                      <a:off x="0" y="0"/>
                      <a:ext cx="5334000" cy="1027144"/>
                    </a:xfrm>
                    <a:prstGeom prst="rect">
                      <a:avLst/>
                    </a:prstGeom>
                    <a:noFill/>
                    <a:ln w="9525">
                      <a:noFill/>
                    </a:ln>
                  </pic:spPr>
                </pic:pic>
              </a:graphicData>
            </a:graphic>
          </wp:inline>
        </w:drawing>
      </w:r>
    </w:p>
    <w:p w14:paraId="27E49851">
      <w:pPr>
        <w:pStyle w:val="3"/>
      </w:pPr>
      <w:r>
        <w:rPr>
          <w:rFonts w:hint="eastAsia"/>
        </w:rPr>
        <w:t>【交返收入参数管理】下的各基础参数维护菜单中数据，目前仅【投资者做市品种或合约维护】纳入了测算的剔除处理（基于月初已经及时维护了该月份的做市商数据），其他维护菜单的数据暂未纳入。</w:t>
      </w:r>
    </w:p>
    <w:bookmarkEnd w:id="88"/>
    <w:p w14:paraId="1C615944">
      <w:pPr>
        <w:pStyle w:val="5"/>
      </w:pPr>
      <w:bookmarkStart w:id="89" w:name="_Toc23763"/>
      <w:bookmarkStart w:id="90" w:name="公式维护"/>
      <w:r>
        <w:rPr>
          <w:rFonts w:hint="eastAsia"/>
        </w:rPr>
        <w:t>4.公式维护</w:t>
      </w:r>
      <w:bookmarkEnd w:id="89"/>
    </w:p>
    <w:p w14:paraId="152772AD">
      <w:pPr>
        <w:pStyle w:val="26"/>
      </w:pPr>
      <w:r>
        <w:rPr>
          <w:rFonts w:hint="eastAsia"/>
        </w:rPr>
        <w:t>用于实现某个领取人（投资者、居间人、员工等）提取交易所手续费减收返还的公式设置；即，不同领取主体的交返设置，均是在此界面进行。</w:t>
      </w:r>
    </w:p>
    <w:p w14:paraId="64D3CDE2">
      <w:pPr>
        <w:pStyle w:val="3"/>
      </w:pPr>
      <w:r>
        <w:drawing>
          <wp:inline distT="0" distB="0" distL="114300" distR="114300">
            <wp:extent cx="5334000" cy="4363085"/>
            <wp:effectExtent l="0" t="0" r="0" b="0"/>
            <wp:docPr id="391"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Picture" descr="image.png"/>
                    <pic:cNvPicPr>
                      <a:picLocks noChangeAspect="1" noChangeArrowheads="1"/>
                    </pic:cNvPicPr>
                  </pic:nvPicPr>
                  <pic:blipFill>
                    <a:blip r:embed="rId104"/>
                    <a:stretch>
                      <a:fillRect/>
                    </a:stretch>
                  </pic:blipFill>
                  <pic:spPr>
                    <a:xfrm>
                      <a:off x="0" y="0"/>
                      <a:ext cx="5334000" cy="4363290"/>
                    </a:xfrm>
                    <a:prstGeom prst="rect">
                      <a:avLst/>
                    </a:prstGeom>
                    <a:noFill/>
                    <a:ln w="9525">
                      <a:noFill/>
                    </a:ln>
                  </pic:spPr>
                </pic:pic>
              </a:graphicData>
            </a:graphic>
          </wp:inline>
        </w:drawing>
      </w:r>
    </w:p>
    <w:p w14:paraId="301EDB96">
      <w:pPr>
        <w:numPr>
          <w:ilvl w:val="0"/>
          <w:numId w:val="2"/>
        </w:numPr>
      </w:pPr>
      <w:r>
        <w:rPr>
          <w:rFonts w:hint="eastAsia"/>
          <w:b/>
          <w:bCs/>
        </w:rPr>
        <w:t>适用范围：</w:t>
      </w:r>
      <w:r>
        <w:t xml:space="preserve"> </w:t>
      </w:r>
      <w:r>
        <w:rPr>
          <w:rFonts w:hint="eastAsia"/>
        </w:rPr>
        <w:t>非必填项；若是投资者自身提取交返，那么此处不填；若是非投资者自身提取交返，则此处必填；</w:t>
      </w:r>
    </w:p>
    <w:p w14:paraId="3F371D45">
      <w:pPr>
        <w:numPr>
          <w:ilvl w:val="1"/>
          <w:numId w:val="2"/>
        </w:numPr>
      </w:pPr>
      <w:r>
        <w:rPr>
          <w:rFonts w:hint="eastAsia"/>
        </w:rPr>
        <w:t>如果领取人是居间人、或者员工，则直接在第一个编辑框里面输入居间人代码、或者员工代码；</w:t>
      </w:r>
    </w:p>
    <w:p w14:paraId="53C5F08B">
      <w:pPr>
        <w:numPr>
          <w:ilvl w:val="1"/>
          <w:numId w:val="2"/>
        </w:numPr>
      </w:pPr>
      <w:r>
        <w:rPr>
          <w:rFonts w:hint="eastAsia"/>
        </w:rPr>
        <w:t>如果领取人是部门，则直接点击后面的【…】按钮在弹出的组织架构树中选择对应的部门节点，确认后返回设置界面，系统自动将部门代码填充到前面的输入框中；——启用以部门为单位的计提管理模式，需要联系德索，由双方协商一致，否则设置不会生效！</w:t>
      </w:r>
    </w:p>
    <w:p w14:paraId="520CA21A">
      <w:pPr>
        <w:numPr>
          <w:ilvl w:val="1"/>
          <w:numId w:val="2"/>
        </w:numPr>
      </w:pPr>
      <w:r>
        <w:rPr>
          <w:rFonts w:hint="eastAsia"/>
        </w:rPr>
        <w:t>如果以团队的方式计提，那么此处需要设置为团队长的投资者代码，作为系统识别一个特定团队集合的依据；</w:t>
      </w:r>
    </w:p>
    <w:p w14:paraId="7E0143F8">
      <w:pPr>
        <w:numPr>
          <w:ilvl w:val="0"/>
          <w:numId w:val="2"/>
        </w:numPr>
      </w:pPr>
      <w:r>
        <w:rPr>
          <w:rFonts w:hint="eastAsia"/>
          <w:b/>
          <w:bCs/>
        </w:rPr>
        <w:t>投资者代码：</w:t>
      </w:r>
      <w:r>
        <w:rPr>
          <w:rFonts w:hint="eastAsia"/>
        </w:rPr>
        <w:t>非必填项；支持批量设置多个投资者代码，需以英文逗号间隔；</w:t>
      </w:r>
    </w:p>
    <w:p w14:paraId="04331431">
      <w:pPr>
        <w:numPr>
          <w:ilvl w:val="0"/>
          <w:numId w:val="2"/>
        </w:numPr>
      </w:pPr>
      <w:r>
        <w:rPr>
          <w:rFonts w:hint="eastAsia"/>
          <w:b/>
          <w:bCs/>
        </w:rPr>
        <w:t>“适用范围”为空：</w:t>
      </w:r>
      <w:r>
        <w:rPr>
          <w:rFonts w:hint="eastAsia"/>
        </w:rPr>
        <w:t>意为客户自身提取交返；单个或多个投资者，均使用此相同设置；</w:t>
      </w:r>
    </w:p>
    <w:p w14:paraId="164EEE19">
      <w:pPr>
        <w:numPr>
          <w:ilvl w:val="0"/>
          <w:numId w:val="2"/>
        </w:numPr>
      </w:pPr>
      <w:r>
        <w:rPr>
          <w:rFonts w:hint="eastAsia"/>
          <w:b/>
          <w:bCs/>
        </w:rPr>
        <w:t>“适用范围”为居间人代码或者员工代码、此处为空</w:t>
      </w:r>
      <w:r>
        <w:rPr>
          <w:rFonts w:hint="eastAsia"/>
        </w:rPr>
        <w:t>：居间人或者员工对其名下的所有客户提取交返，都使用此设置；</w:t>
      </w:r>
    </w:p>
    <w:p w14:paraId="68F9755B">
      <w:pPr>
        <w:numPr>
          <w:ilvl w:val="0"/>
          <w:numId w:val="2"/>
        </w:numPr>
      </w:pPr>
      <w:r>
        <w:rPr>
          <w:rFonts w:hint="eastAsia"/>
          <w:b/>
          <w:bCs/>
        </w:rPr>
        <w:t>“适用范围”为居间人代码或者员工代码、此处不空</w:t>
      </w:r>
      <w:r>
        <w:rPr>
          <w:rFonts w:hint="eastAsia"/>
        </w:rPr>
        <w:t>：居间人或者员工对其名下指定的客户提取交返才使用此设置；</w:t>
      </w:r>
    </w:p>
    <w:p w14:paraId="1797F76D">
      <w:pPr>
        <w:numPr>
          <w:ilvl w:val="0"/>
          <w:numId w:val="2"/>
        </w:numPr>
      </w:pPr>
      <w:r>
        <w:rPr>
          <w:rFonts w:hint="eastAsia"/>
          <w:b/>
          <w:bCs/>
        </w:rPr>
        <w:t>“适用范围”为部门、此处为空或者不空</w:t>
      </w:r>
      <w:r>
        <w:rPr>
          <w:rFonts w:hint="eastAsia"/>
        </w:rPr>
        <w:t>：需要联系德索协商生效规则；</w:t>
      </w:r>
    </w:p>
    <w:p w14:paraId="2704B931">
      <w:pPr>
        <w:numPr>
          <w:ilvl w:val="0"/>
          <w:numId w:val="2"/>
        </w:numPr>
      </w:pPr>
      <w:r>
        <w:rPr>
          <w:rFonts w:hint="eastAsia"/>
          <w:b/>
          <w:bCs/>
        </w:rPr>
        <w:t>“适用范围”为某个投资者代码、此处不空</w:t>
      </w:r>
      <w:r>
        <w:rPr>
          <w:rFonts w:hint="eastAsia"/>
        </w:rPr>
        <w:t>：团队计提，此设置对团队内的一个或多个客户生效设置；</w:t>
      </w:r>
    </w:p>
    <w:p w14:paraId="70F73958">
      <w:pPr>
        <w:numPr>
          <w:ilvl w:val="0"/>
          <w:numId w:val="2"/>
        </w:numPr>
      </w:pPr>
      <w:r>
        <w:rPr>
          <w:rFonts w:hint="eastAsia"/>
          <w:b/>
          <w:bCs/>
        </w:rPr>
        <w:t>默认提成类型：</w:t>
      </w:r>
      <w:r>
        <w:rPr>
          <w:rFonts w:hint="eastAsia"/>
        </w:rPr>
        <w:t>默认为”交易所返还”；</w:t>
      </w:r>
    </w:p>
    <w:p w14:paraId="710EB0E6">
      <w:pPr>
        <w:numPr>
          <w:ilvl w:val="0"/>
          <w:numId w:val="2"/>
        </w:numPr>
      </w:pPr>
      <w:r>
        <w:rPr>
          <w:rFonts w:hint="eastAsia"/>
          <w:b/>
          <w:bCs/>
        </w:rPr>
        <w:t>开始日期~结束日期、公式状态</w:t>
      </w:r>
      <w:r>
        <w:rPr>
          <w:rFonts w:hint="eastAsia"/>
        </w:rPr>
        <w:t>：设置此公式的生效起止时间、及当前状态；</w:t>
      </w:r>
    </w:p>
    <w:p w14:paraId="60A48926">
      <w:pPr>
        <w:numPr>
          <w:ilvl w:val="0"/>
          <w:numId w:val="2"/>
        </w:numPr>
      </w:pPr>
      <w:r>
        <w:rPr>
          <w:rFonts w:hint="eastAsia"/>
          <w:b/>
          <w:bCs/>
        </w:rPr>
        <w:t>“分段类型”</w:t>
      </w:r>
      <w:r>
        <w:rPr>
          <w:rFonts w:hint="eastAsia"/>
        </w:rPr>
        <w:t>：固定比例、分段；</w:t>
      </w:r>
    </w:p>
    <w:p w14:paraId="4957CB4C">
      <w:pPr>
        <w:numPr>
          <w:ilvl w:val="0"/>
          <w:numId w:val="2"/>
        </w:numPr>
      </w:pPr>
      <w:r>
        <w:rPr>
          <w:rFonts w:hint="eastAsia"/>
        </w:rPr>
        <w:t>参考居间人返佣模块，可以对返还按照固定比例或分段金额进行比例设置。</w:t>
      </w:r>
    </w:p>
    <w:p w14:paraId="20D98811">
      <w:pPr>
        <w:numPr>
          <w:ilvl w:val="0"/>
          <w:numId w:val="2"/>
        </w:numPr>
      </w:pPr>
      <w:r>
        <w:rPr>
          <w:rFonts w:hint="eastAsia"/>
          <w:b/>
          <w:bCs/>
        </w:rPr>
        <w:t>“提成类型”：</w:t>
      </w:r>
      <w:r>
        <w:rPr>
          <w:rFonts w:hint="eastAsia"/>
        </w:rPr>
        <w:t>选项可根据期货公司实际需求做配置；</w:t>
      </w:r>
    </w:p>
    <w:p w14:paraId="6EB4A4E0">
      <w:pPr>
        <w:numPr>
          <w:ilvl w:val="0"/>
          <w:numId w:val="2"/>
        </w:numPr>
      </w:pPr>
      <w:r>
        <w:rPr>
          <w:rFonts w:hint="eastAsia"/>
        </w:rPr>
        <w:t>四所返还：表示投资者交易品种所涉及到的四个交易所（大商所、郑商所、中金所、上期所）返还的总和；</w:t>
      </w:r>
    </w:p>
    <w:p w14:paraId="20D62A1A">
      <w:pPr>
        <w:numPr>
          <w:ilvl w:val="0"/>
          <w:numId w:val="2"/>
        </w:numPr>
      </w:pPr>
      <w:r>
        <w:rPr>
          <w:rFonts w:hint="eastAsia"/>
          <w:b/>
          <w:bCs/>
        </w:rPr>
        <w:t>“固定提成比例”：</w:t>
      </w:r>
      <w:r>
        <w:rPr>
          <w:rFonts w:hint="eastAsia"/>
        </w:rPr>
        <w:t>仅在”分段类型”=“固定比例”时，设置才有意义；</w:t>
      </w:r>
    </w:p>
    <w:p w14:paraId="4A705EB1">
      <w:pPr>
        <w:pStyle w:val="26"/>
      </w:pPr>
      <w:r>
        <w:rPr>
          <w:rFonts w:hint="eastAsia"/>
        </w:rPr>
        <w:t>其中，“适用范围”和”投资者代码”设置后组合生效的多种情形，列举如下表：</w:t>
      </w:r>
    </w:p>
    <w:tbl>
      <w:tblPr>
        <w:tblStyle w:val="44"/>
        <w:tblW w:w="5000" w:type="pct"/>
        <w:tblInd w:w="0" w:type="dxa"/>
        <w:tblLayout w:type="fixed"/>
        <w:tblCellMar>
          <w:top w:w="0" w:type="dxa"/>
          <w:left w:w="108" w:type="dxa"/>
          <w:bottom w:w="0" w:type="dxa"/>
          <w:right w:w="108" w:type="dxa"/>
        </w:tblCellMar>
      </w:tblPr>
      <w:tblGrid>
        <w:gridCol w:w="2291"/>
        <w:gridCol w:w="3543"/>
        <w:gridCol w:w="3022"/>
      </w:tblGrid>
      <w:tr w14:paraId="7F5B427B">
        <w:tblPrEx>
          <w:tblCellMar>
            <w:top w:w="0" w:type="dxa"/>
            <w:left w:w="108" w:type="dxa"/>
            <w:bottom w:w="0" w:type="dxa"/>
            <w:right w:w="108" w:type="dxa"/>
          </w:tblCellMar>
        </w:tblPrEx>
        <w:trPr>
          <w:tblHeader/>
        </w:trPr>
        <w:tc>
          <w:p w14:paraId="43ED1DF3">
            <w:pPr>
              <w:pStyle w:val="27"/>
            </w:pPr>
          </w:p>
        </w:tc>
        <w:tc>
          <w:p w14:paraId="5AC930C2">
            <w:pPr>
              <w:pStyle w:val="27"/>
            </w:pPr>
            <w:r>
              <w:rPr>
                <w:rFonts w:hint="eastAsia"/>
                <w:b/>
                <w:bCs/>
              </w:rPr>
              <w:t>投资者代码=空</w:t>
            </w:r>
          </w:p>
        </w:tc>
        <w:tc>
          <w:p w14:paraId="50011B3F">
            <w:pPr>
              <w:pStyle w:val="27"/>
            </w:pPr>
            <w:r>
              <w:rPr>
                <w:rFonts w:hint="eastAsia"/>
                <w:b/>
                <w:bCs/>
              </w:rPr>
              <w:t>投资者代码不空</w:t>
            </w:r>
          </w:p>
        </w:tc>
      </w:tr>
      <w:tr w14:paraId="33104E66">
        <w:tblPrEx>
          <w:tblCellMar>
            <w:top w:w="0" w:type="dxa"/>
            <w:left w:w="108" w:type="dxa"/>
            <w:bottom w:w="0" w:type="dxa"/>
            <w:right w:w="108" w:type="dxa"/>
          </w:tblCellMar>
        </w:tblPrEx>
        <w:tc>
          <w:p w14:paraId="0FD77BD8">
            <w:pPr>
              <w:pStyle w:val="27"/>
            </w:pPr>
            <w:r>
              <w:rPr>
                <w:rFonts w:hint="eastAsia"/>
                <w:b/>
                <w:bCs/>
              </w:rPr>
              <w:t>适用范围=空</w:t>
            </w:r>
          </w:p>
        </w:tc>
        <w:tc>
          <w:p w14:paraId="22754E0C">
            <w:pPr>
              <w:pStyle w:val="27"/>
            </w:pPr>
          </w:p>
        </w:tc>
        <w:tc>
          <w:p w14:paraId="5D45974B">
            <w:pPr>
              <w:pStyle w:val="27"/>
            </w:pPr>
            <w:r>
              <w:rPr>
                <w:rFonts w:hint="eastAsia"/>
              </w:rPr>
              <w:t>客户（组）自身提取交返</w:t>
            </w:r>
          </w:p>
        </w:tc>
      </w:tr>
      <w:tr w14:paraId="797B5C38">
        <w:tblPrEx>
          <w:tblCellMar>
            <w:top w:w="0" w:type="dxa"/>
            <w:left w:w="108" w:type="dxa"/>
            <w:bottom w:w="0" w:type="dxa"/>
            <w:right w:w="108" w:type="dxa"/>
          </w:tblCellMar>
        </w:tblPrEx>
        <w:tc>
          <w:p w14:paraId="6591D452">
            <w:pPr>
              <w:pStyle w:val="27"/>
            </w:pPr>
            <w:r>
              <w:rPr>
                <w:rFonts w:hint="eastAsia"/>
                <w:b/>
                <w:bCs/>
              </w:rPr>
              <w:t>适用范围=居间人</w:t>
            </w:r>
          </w:p>
        </w:tc>
        <w:tc>
          <w:p w14:paraId="6DE0409A">
            <w:pPr>
              <w:pStyle w:val="27"/>
            </w:pPr>
            <w:r>
              <w:rPr>
                <w:rFonts w:hint="eastAsia"/>
              </w:rPr>
              <w:t>居间人提取，对名其下所有客户生效</w:t>
            </w:r>
          </w:p>
        </w:tc>
        <w:tc>
          <w:p w14:paraId="617EF1A4">
            <w:pPr>
              <w:pStyle w:val="27"/>
            </w:pPr>
            <w:r>
              <w:rPr>
                <w:rFonts w:hint="eastAsia"/>
              </w:rPr>
              <w:t>居间人提取，仅对该客户（组）生效</w:t>
            </w:r>
          </w:p>
        </w:tc>
      </w:tr>
      <w:tr w14:paraId="33ACD098">
        <w:tblPrEx>
          <w:tblCellMar>
            <w:top w:w="0" w:type="dxa"/>
            <w:left w:w="108" w:type="dxa"/>
            <w:bottom w:w="0" w:type="dxa"/>
            <w:right w:w="108" w:type="dxa"/>
          </w:tblCellMar>
        </w:tblPrEx>
        <w:tc>
          <w:p w14:paraId="6FE8316C">
            <w:pPr>
              <w:pStyle w:val="27"/>
            </w:pPr>
            <w:r>
              <w:rPr>
                <w:rFonts w:hint="eastAsia"/>
                <w:b/>
                <w:bCs/>
              </w:rPr>
              <w:t>适用范围=员工</w:t>
            </w:r>
          </w:p>
        </w:tc>
        <w:tc>
          <w:p w14:paraId="178AB158">
            <w:pPr>
              <w:pStyle w:val="27"/>
            </w:pPr>
            <w:r>
              <w:rPr>
                <w:rFonts w:hint="eastAsia"/>
              </w:rPr>
              <w:t>员工提取，对其名下所有客户生效</w:t>
            </w:r>
          </w:p>
        </w:tc>
        <w:tc>
          <w:p w14:paraId="2341099A">
            <w:pPr>
              <w:pStyle w:val="27"/>
            </w:pPr>
            <w:r>
              <w:rPr>
                <w:rFonts w:hint="eastAsia"/>
              </w:rPr>
              <w:t>员工提取，仅对该客户（组）生效</w:t>
            </w:r>
          </w:p>
        </w:tc>
      </w:tr>
      <w:tr w14:paraId="23987457">
        <w:tblPrEx>
          <w:tblCellMar>
            <w:top w:w="0" w:type="dxa"/>
            <w:left w:w="108" w:type="dxa"/>
            <w:bottom w:w="0" w:type="dxa"/>
            <w:right w:w="108" w:type="dxa"/>
          </w:tblCellMar>
        </w:tblPrEx>
        <w:tc>
          <w:p w14:paraId="2C178701">
            <w:pPr>
              <w:pStyle w:val="27"/>
            </w:pPr>
            <w:r>
              <w:rPr>
                <w:rFonts w:hint="eastAsia"/>
                <w:b/>
                <w:bCs/>
              </w:rPr>
              <w:t>适用范围=部门</w:t>
            </w:r>
          </w:p>
        </w:tc>
        <w:tc>
          <w:p w14:paraId="7E3C672D">
            <w:pPr>
              <w:pStyle w:val="27"/>
            </w:pPr>
            <w:r>
              <w:rPr>
                <w:rFonts w:hint="eastAsia"/>
              </w:rPr>
              <w:t>部门提取，对部门下挂所有客户生效</w:t>
            </w:r>
          </w:p>
        </w:tc>
        <w:tc>
          <w:p w14:paraId="54EA5931">
            <w:pPr>
              <w:pStyle w:val="27"/>
            </w:pPr>
            <w:r>
              <w:rPr>
                <w:rFonts w:hint="eastAsia"/>
              </w:rPr>
              <w:t>部门提取，仅对该客户（组）生效</w:t>
            </w:r>
          </w:p>
        </w:tc>
      </w:tr>
      <w:tr w14:paraId="5199F759">
        <w:tblPrEx>
          <w:tblCellMar>
            <w:top w:w="0" w:type="dxa"/>
            <w:left w:w="108" w:type="dxa"/>
            <w:bottom w:w="0" w:type="dxa"/>
            <w:right w:w="108" w:type="dxa"/>
          </w:tblCellMar>
        </w:tblPrEx>
        <w:tc>
          <w:p w14:paraId="76E1F657">
            <w:pPr>
              <w:pStyle w:val="27"/>
            </w:pPr>
            <w:r>
              <w:rPr>
                <w:rFonts w:hint="eastAsia"/>
                <w:b/>
                <w:bCs/>
              </w:rPr>
              <w:t>适用范围=投资者</w:t>
            </w:r>
          </w:p>
        </w:tc>
        <w:tc>
          <w:p w14:paraId="12F598D1">
            <w:pPr>
              <w:pStyle w:val="27"/>
            </w:pPr>
          </w:p>
        </w:tc>
        <w:tc>
          <w:p w14:paraId="7A8AB050">
            <w:pPr>
              <w:pStyle w:val="27"/>
            </w:pPr>
            <w:r>
              <w:rPr>
                <w:rFonts w:hint="eastAsia"/>
              </w:rPr>
              <w:t>团队提取模式，对该客户（组）生效</w:t>
            </w:r>
          </w:p>
        </w:tc>
      </w:tr>
    </w:tbl>
    <w:p w14:paraId="301FCD7C">
      <w:pPr>
        <w:pStyle w:val="3"/>
      </w:pPr>
      <w:r>
        <w:rPr>
          <w:rFonts w:hint="eastAsia"/>
        </w:rPr>
        <w:t>相关要素设置完毕，点击【确定】按钮，系统保存设置。</w:t>
      </w:r>
    </w:p>
    <w:p w14:paraId="2FD3B9A8">
      <w:pPr>
        <w:pStyle w:val="3"/>
      </w:pPr>
      <w:r>
        <w:rPr>
          <w:rFonts w:hint="eastAsia"/>
        </w:rPr>
        <w:t>其中，如果”投资者代码”中设置了多个投资者的资金账号，那么系统会自动展开成多条记录，即每个资金账号对应一条设置。</w:t>
      </w:r>
    </w:p>
    <w:bookmarkEnd w:id="90"/>
    <w:p w14:paraId="1FD9F06C">
      <w:pPr>
        <w:pStyle w:val="5"/>
      </w:pPr>
      <w:bookmarkStart w:id="91" w:name="_Toc5838"/>
      <w:bookmarkStart w:id="92" w:name="交易所返还提成查询"/>
      <w:r>
        <w:rPr>
          <w:rFonts w:hint="eastAsia"/>
        </w:rPr>
        <w:t>5.交易所返还提成查询</w:t>
      </w:r>
      <w:bookmarkEnd w:id="91"/>
    </w:p>
    <w:p w14:paraId="6BC29F0B">
      <w:pPr>
        <w:pStyle w:val="26"/>
      </w:pPr>
      <w:r>
        <w:rPr>
          <w:rFonts w:hint="eastAsia"/>
        </w:rPr>
        <w:t>从领取人角度，查询不同领取主体享有交易所返还的提成情况。</w:t>
      </w:r>
    </w:p>
    <w:p w14:paraId="5C89578F">
      <w:pPr>
        <w:pStyle w:val="3"/>
      </w:pPr>
      <w:r>
        <w:drawing>
          <wp:inline distT="0" distB="0" distL="114300" distR="114300">
            <wp:extent cx="5334000" cy="1146810"/>
            <wp:effectExtent l="0" t="0" r="0" b="0"/>
            <wp:docPr id="395"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Picture" descr="image.png"/>
                    <pic:cNvPicPr>
                      <a:picLocks noChangeAspect="1" noChangeArrowheads="1"/>
                    </pic:cNvPicPr>
                  </pic:nvPicPr>
                  <pic:blipFill>
                    <a:blip r:embed="rId105"/>
                    <a:stretch>
                      <a:fillRect/>
                    </a:stretch>
                  </pic:blipFill>
                  <pic:spPr>
                    <a:xfrm>
                      <a:off x="0" y="0"/>
                      <a:ext cx="5334000" cy="1147430"/>
                    </a:xfrm>
                    <a:prstGeom prst="rect">
                      <a:avLst/>
                    </a:prstGeom>
                    <a:noFill/>
                    <a:ln w="9525">
                      <a:noFill/>
                    </a:ln>
                  </pic:spPr>
                </pic:pic>
              </a:graphicData>
            </a:graphic>
          </wp:inline>
        </w:drawing>
      </w:r>
    </w:p>
    <w:bookmarkEnd w:id="92"/>
    <w:p w14:paraId="0F94C613">
      <w:pPr>
        <w:pStyle w:val="5"/>
      </w:pPr>
      <w:bookmarkStart w:id="93" w:name="_Toc7891"/>
      <w:bookmarkStart w:id="94" w:name="交易所返还提成计算"/>
      <w:r>
        <w:rPr>
          <w:rFonts w:hint="eastAsia"/>
        </w:rPr>
        <w:t>6.交易所返还提成计算</w:t>
      </w:r>
      <w:bookmarkEnd w:id="93"/>
    </w:p>
    <w:p w14:paraId="35E7AFF2">
      <w:pPr>
        <w:pStyle w:val="26"/>
      </w:pPr>
      <w:r>
        <w:rPr>
          <w:rFonts w:hint="eastAsia"/>
        </w:rPr>
        <w:t>此菜单为应急计算功能，当执行了【交易所返还基础数据计算】、或者进行了客户/居间人/员工的交返【公式维护】操作，需要立即核对各领取人的提成数据时使用。</w:t>
      </w:r>
    </w:p>
    <w:p w14:paraId="1350964A">
      <w:pPr>
        <w:pStyle w:val="3"/>
      </w:pPr>
      <w:r>
        <w:drawing>
          <wp:inline distT="0" distB="0" distL="114300" distR="114300">
            <wp:extent cx="4125595" cy="1295400"/>
            <wp:effectExtent l="0" t="0" r="0" b="0"/>
            <wp:docPr id="399"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Picture" descr="image.png"/>
                    <pic:cNvPicPr>
                      <a:picLocks noChangeAspect="1" noChangeArrowheads="1"/>
                    </pic:cNvPicPr>
                  </pic:nvPicPr>
                  <pic:blipFill>
                    <a:blip r:embed="rId106"/>
                    <a:stretch>
                      <a:fillRect/>
                    </a:stretch>
                  </pic:blipFill>
                  <pic:spPr>
                    <a:xfrm>
                      <a:off x="0" y="0"/>
                      <a:ext cx="4125599" cy="1295800"/>
                    </a:xfrm>
                    <a:prstGeom prst="rect">
                      <a:avLst/>
                    </a:prstGeom>
                    <a:noFill/>
                    <a:ln w="9525">
                      <a:noFill/>
                    </a:ln>
                  </pic:spPr>
                </pic:pic>
              </a:graphicData>
            </a:graphic>
          </wp:inline>
        </w:drawing>
      </w:r>
    </w:p>
    <w:p w14:paraId="07824624">
      <w:pPr>
        <w:pStyle w:val="13"/>
      </w:pPr>
      <w:r>
        <w:rPr>
          <w:rFonts w:hint="eastAsia"/>
          <w:b/>
          <w:bCs/>
        </w:rPr>
        <w:t>注意</w:t>
      </w:r>
    </w:p>
    <w:p w14:paraId="572C8D92">
      <w:pPr>
        <w:pStyle w:val="4"/>
      </w:pPr>
      <w:bookmarkStart w:id="95" w:name="仅审核通过的公式参与计算未审核的公式不生效"/>
      <w:bookmarkStart w:id="96" w:name="_Toc24277"/>
      <w:r>
        <w:rPr>
          <w:rFonts w:hint="eastAsia"/>
        </w:rPr>
        <w:t>仅【审核通过】的公式参与计算，未审核的公式不生效。</w:t>
      </w:r>
      <w:bookmarkEnd w:id="95"/>
      <w:bookmarkEnd w:id="96"/>
    </w:p>
    <w:bookmarkEnd w:id="82"/>
    <w:bookmarkEnd w:id="94"/>
    <w:p w14:paraId="3957FE45">
      <w:pPr>
        <w:pStyle w:val="4"/>
      </w:pPr>
      <w:bookmarkStart w:id="97" w:name="_Toc26834"/>
      <w:bookmarkStart w:id="98" w:name="七利息返还管理"/>
      <w:r>
        <w:rPr>
          <w:rFonts w:hint="eastAsia"/>
        </w:rPr>
        <w:t>七、利息返还管理</w:t>
      </w:r>
      <w:bookmarkEnd w:id="97"/>
    </w:p>
    <w:p w14:paraId="507DD34D">
      <w:pPr>
        <w:pStyle w:val="5"/>
      </w:pPr>
      <w:bookmarkStart w:id="99" w:name="_Toc13887"/>
      <w:bookmarkStart w:id="100" w:name="公式维护审核查询"/>
      <w:r>
        <w:rPr>
          <w:rFonts w:hint="eastAsia"/>
        </w:rPr>
        <w:t>1.公式维护、审核、查询</w:t>
      </w:r>
      <w:bookmarkEnd w:id="99"/>
    </w:p>
    <w:p w14:paraId="6DE3F82E">
      <w:pPr>
        <w:pStyle w:val="26"/>
      </w:pPr>
      <w:r>
        <w:rPr>
          <w:rFonts w:hint="eastAsia"/>
        </w:rPr>
        <w:t>用于实现某个领取人（投资者、居间人、员工等）享有客户利息返还提成的公式设置；即，不同领取主体的利息返还设置，均是在此界面进行。</w:t>
      </w:r>
    </w:p>
    <w:p w14:paraId="7B20C56F">
      <w:pPr>
        <w:pStyle w:val="3"/>
      </w:pPr>
      <w:r>
        <w:rPr>
          <w:rFonts w:hint="eastAsia"/>
        </w:rPr>
        <w:t>此界面的大部分设置要素定义及设置方式和生效规则，与【交易所返还管理】-&gt;【公式维护】界面基本一致，相同之处不再赘述。</w:t>
      </w:r>
    </w:p>
    <w:p w14:paraId="47CF760A">
      <w:pPr>
        <w:pStyle w:val="3"/>
      </w:pPr>
      <w:r>
        <w:drawing>
          <wp:inline distT="0" distB="0" distL="114300" distR="114300">
            <wp:extent cx="5334000" cy="3812540"/>
            <wp:effectExtent l="0" t="0" r="0" b="0"/>
            <wp:docPr id="405"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Picture" descr="image.png"/>
                    <pic:cNvPicPr>
                      <a:picLocks noChangeAspect="1" noChangeArrowheads="1"/>
                    </pic:cNvPicPr>
                  </pic:nvPicPr>
                  <pic:blipFill>
                    <a:blip r:embed="rId107"/>
                    <a:stretch>
                      <a:fillRect/>
                    </a:stretch>
                  </pic:blipFill>
                  <pic:spPr>
                    <a:xfrm>
                      <a:off x="0" y="0"/>
                      <a:ext cx="5334000" cy="3812822"/>
                    </a:xfrm>
                    <a:prstGeom prst="rect">
                      <a:avLst/>
                    </a:prstGeom>
                    <a:noFill/>
                    <a:ln w="9525">
                      <a:noFill/>
                    </a:ln>
                  </pic:spPr>
                </pic:pic>
              </a:graphicData>
            </a:graphic>
          </wp:inline>
        </w:drawing>
      </w:r>
    </w:p>
    <w:p w14:paraId="279BF45C">
      <w:pPr>
        <w:numPr>
          <w:ilvl w:val="0"/>
          <w:numId w:val="2"/>
        </w:numPr>
      </w:pPr>
      <w:r>
        <w:rPr>
          <w:rFonts w:hint="eastAsia"/>
          <w:b/>
          <w:bCs/>
        </w:rPr>
        <w:t>默认提成类型：</w:t>
      </w:r>
      <w:r>
        <w:t xml:space="preserve"> </w:t>
      </w:r>
      <w:r>
        <w:rPr>
          <w:rFonts w:hint="eastAsia"/>
        </w:rPr>
        <w:t>默认为”利息提成”；</w:t>
      </w:r>
    </w:p>
    <w:p w14:paraId="46738059">
      <w:pPr>
        <w:numPr>
          <w:ilvl w:val="0"/>
          <w:numId w:val="2"/>
        </w:numPr>
      </w:pPr>
      <w:r>
        <w:rPr>
          <w:rFonts w:hint="eastAsia"/>
          <w:b/>
          <w:bCs/>
        </w:rPr>
        <w:t>分段类型&amp;分段基准：</w:t>
      </w:r>
      <w:r>
        <w:t xml:space="preserve"> </w:t>
      </w:r>
      <w:r>
        <w:rPr>
          <w:rFonts w:hint="eastAsia"/>
        </w:rPr>
        <w:t>“分段”方式下使用的具体分段对象，可以根据需要进行配置；</w:t>
      </w:r>
    </w:p>
    <w:p w14:paraId="7ED55EA8">
      <w:pPr>
        <w:numPr>
          <w:ilvl w:val="0"/>
          <w:numId w:val="2"/>
        </w:numPr>
      </w:pPr>
      <w:r>
        <w:rPr>
          <w:rFonts w:hint="eastAsia"/>
          <w:b/>
          <w:bCs/>
        </w:rPr>
        <w:t>提成类型：</w:t>
      </w:r>
      <w:r>
        <w:t xml:space="preserve"> </w:t>
      </w:r>
      <w:r>
        <w:rPr>
          <w:rFonts w:hint="eastAsia"/>
        </w:rPr>
        <w:t>选项可根据期货公司实际需求做配置；</w:t>
      </w:r>
    </w:p>
    <w:p w14:paraId="400BD3E1">
      <w:pPr>
        <w:numPr>
          <w:ilvl w:val="1"/>
          <w:numId w:val="2"/>
        </w:numPr>
      </w:pPr>
      <w:r>
        <w:rPr>
          <w:rFonts w:hint="eastAsia"/>
        </w:rPr>
        <w:t>通常，利息提成对应的计息基数是可用资金；可用资金，可以是公司可用，也可以是交易所可用；可以分为按自然日算（这是多数情况），也可以按交易日算；</w:t>
      </w:r>
    </w:p>
    <w:p w14:paraId="65EF6870">
      <w:pPr>
        <w:numPr>
          <w:ilvl w:val="1"/>
          <w:numId w:val="2"/>
        </w:numPr>
      </w:pPr>
      <w:r>
        <w:rPr>
          <w:rFonts w:hint="eastAsia"/>
        </w:rPr>
        <w:t>关于仓单质押，是否要做扣除，还是参与计息基数计算；</w:t>
      </w:r>
    </w:p>
    <w:p w14:paraId="2A9FD50B">
      <w:pPr>
        <w:numPr>
          <w:ilvl w:val="0"/>
          <w:numId w:val="2"/>
        </w:numPr>
      </w:pPr>
      <w:r>
        <w:rPr>
          <w:rFonts w:hint="eastAsia"/>
          <w:b/>
          <w:bCs/>
        </w:rPr>
        <w:t>计息天数：</w:t>
      </w:r>
      <w:r>
        <w:t xml:space="preserve"> </w:t>
      </w:r>
      <w:r>
        <w:rPr>
          <w:rFonts w:hint="eastAsia"/>
        </w:rPr>
        <w:t>必填项；通常一般为360或者365，根据与提取人的约定来设置；</w:t>
      </w:r>
    </w:p>
    <w:p w14:paraId="3CAB70AB">
      <w:pPr>
        <w:numPr>
          <w:ilvl w:val="0"/>
          <w:numId w:val="2"/>
        </w:numPr>
      </w:pPr>
      <w:r>
        <w:rPr>
          <w:rFonts w:hint="eastAsia"/>
          <w:b/>
          <w:bCs/>
        </w:rPr>
        <w:t>折扣率：</w:t>
      </w:r>
      <w:r>
        <w:t xml:space="preserve"> </w:t>
      </w:r>
      <w:r>
        <w:rPr>
          <w:rFonts w:hint="eastAsia"/>
        </w:rPr>
        <w:t>非必填项，相当于实际返还的利息做一个打折系数的处理；</w:t>
      </w:r>
    </w:p>
    <w:p w14:paraId="5CE03133">
      <w:pPr>
        <w:numPr>
          <w:ilvl w:val="0"/>
          <w:numId w:val="2"/>
        </w:numPr>
      </w:pPr>
      <w:r>
        <w:rPr>
          <w:rFonts w:hint="eastAsia"/>
          <w:b/>
          <w:bCs/>
        </w:rPr>
        <w:t>起息金额：</w:t>
      </w:r>
      <w:r>
        <w:t xml:space="preserve"> </w:t>
      </w:r>
      <w:r>
        <w:rPr>
          <w:rFonts w:hint="eastAsia"/>
        </w:rPr>
        <w:t>非必填项，不填默认为0；即，每日的计息基数超过这个金额的部分，才参与计息；起息金额不参与计息；</w:t>
      </w:r>
    </w:p>
    <w:p w14:paraId="0A921248">
      <w:pPr>
        <w:numPr>
          <w:ilvl w:val="0"/>
          <w:numId w:val="2"/>
        </w:numPr>
      </w:pPr>
      <w:r>
        <w:rPr>
          <w:rFonts w:hint="eastAsia"/>
          <w:b/>
          <w:bCs/>
        </w:rPr>
        <w:t>初次计息日期：</w:t>
      </w:r>
      <w:r>
        <w:t xml:space="preserve"> </w:t>
      </w:r>
      <w:r>
        <w:rPr>
          <w:rFonts w:hint="eastAsia"/>
        </w:rPr>
        <w:t>非必填项；目前仅用于备注，不参与计算；</w:t>
      </w:r>
    </w:p>
    <w:p w14:paraId="008DC436">
      <w:pPr>
        <w:pStyle w:val="26"/>
      </w:pPr>
      <w:r>
        <w:rPr>
          <w:rFonts w:hint="eastAsia"/>
        </w:rPr>
        <w:t>新增或者修改过的公式，必须【审核通过】后才会生效。</w:t>
      </w:r>
    </w:p>
    <w:bookmarkEnd w:id="100"/>
    <w:p w14:paraId="3F1CAA2B">
      <w:pPr>
        <w:pStyle w:val="5"/>
      </w:pPr>
      <w:bookmarkStart w:id="101" w:name="_Toc28537"/>
      <w:bookmarkStart w:id="102" w:name="利息返还查询"/>
      <w:r>
        <w:rPr>
          <w:rFonts w:hint="eastAsia"/>
        </w:rPr>
        <w:t>2.利息返还查询</w:t>
      </w:r>
      <w:bookmarkEnd w:id="101"/>
    </w:p>
    <w:p w14:paraId="031CB0D3">
      <w:pPr>
        <w:pStyle w:val="26"/>
      </w:pPr>
      <w:r>
        <w:rPr>
          <w:rFonts w:hint="eastAsia"/>
        </w:rPr>
        <w:t>从领取人角度，查询不同领取主体享有投资者利息的提成情况。</w:t>
      </w:r>
    </w:p>
    <w:p w14:paraId="7BBD5D2D">
      <w:pPr>
        <w:pStyle w:val="3"/>
      </w:pPr>
      <w:r>
        <w:drawing>
          <wp:inline distT="0" distB="0" distL="114300" distR="114300">
            <wp:extent cx="5334000" cy="789305"/>
            <wp:effectExtent l="0" t="0" r="0" b="0"/>
            <wp:docPr id="409"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Picture" descr="image.png"/>
                    <pic:cNvPicPr>
                      <a:picLocks noChangeAspect="1" noChangeArrowheads="1"/>
                    </pic:cNvPicPr>
                  </pic:nvPicPr>
                  <pic:blipFill>
                    <a:blip r:embed="rId108"/>
                    <a:stretch>
                      <a:fillRect/>
                    </a:stretch>
                  </pic:blipFill>
                  <pic:spPr>
                    <a:xfrm>
                      <a:off x="0" y="0"/>
                      <a:ext cx="5334000" cy="789757"/>
                    </a:xfrm>
                    <a:prstGeom prst="rect">
                      <a:avLst/>
                    </a:prstGeom>
                    <a:noFill/>
                    <a:ln w="9525">
                      <a:noFill/>
                    </a:ln>
                  </pic:spPr>
                </pic:pic>
              </a:graphicData>
            </a:graphic>
          </wp:inline>
        </w:drawing>
      </w:r>
    </w:p>
    <w:bookmarkEnd w:id="102"/>
    <w:p w14:paraId="117FA9CC">
      <w:pPr>
        <w:pStyle w:val="5"/>
      </w:pPr>
      <w:bookmarkStart w:id="103" w:name="_Toc29755"/>
      <w:bookmarkStart w:id="104" w:name="利息返还计算"/>
      <w:r>
        <w:rPr>
          <w:rFonts w:hint="eastAsia"/>
        </w:rPr>
        <w:t>3.利息返还计算</w:t>
      </w:r>
      <w:bookmarkEnd w:id="103"/>
    </w:p>
    <w:p w14:paraId="512992E5">
      <w:pPr>
        <w:pStyle w:val="26"/>
      </w:pPr>
      <w:r>
        <w:rPr>
          <w:rFonts w:hint="eastAsia"/>
        </w:rPr>
        <w:t>此菜单为应急计算功能，当执行了客户/居间人/员工的利返【公式维护】操作，需要立即核对各领取人的提成数据时使用。</w:t>
      </w:r>
    </w:p>
    <w:p w14:paraId="558D2FFF">
      <w:pPr>
        <w:pStyle w:val="3"/>
      </w:pPr>
      <w:r>
        <w:drawing>
          <wp:inline distT="0" distB="0" distL="114300" distR="114300">
            <wp:extent cx="3992245" cy="1209675"/>
            <wp:effectExtent l="0" t="0" r="0" b="0"/>
            <wp:docPr id="413"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Picture" descr="image.png"/>
                    <pic:cNvPicPr>
                      <a:picLocks noChangeAspect="1" noChangeArrowheads="1"/>
                    </pic:cNvPicPr>
                  </pic:nvPicPr>
                  <pic:blipFill>
                    <a:blip r:embed="rId109"/>
                    <a:stretch>
                      <a:fillRect/>
                    </a:stretch>
                  </pic:blipFill>
                  <pic:spPr>
                    <a:xfrm>
                      <a:off x="0" y="0"/>
                      <a:ext cx="3992399" cy="1210106"/>
                    </a:xfrm>
                    <a:prstGeom prst="rect">
                      <a:avLst/>
                    </a:prstGeom>
                    <a:noFill/>
                    <a:ln w="9525">
                      <a:noFill/>
                    </a:ln>
                  </pic:spPr>
                </pic:pic>
              </a:graphicData>
            </a:graphic>
          </wp:inline>
        </w:drawing>
      </w:r>
    </w:p>
    <w:bookmarkEnd w:id="104"/>
    <w:p w14:paraId="47049B8F">
      <w:pPr>
        <w:pStyle w:val="5"/>
      </w:pPr>
      <w:bookmarkStart w:id="105" w:name="_Toc21976"/>
      <w:bookmarkStart w:id="106" w:name="公司利息查询"/>
      <w:r>
        <w:rPr>
          <w:rFonts w:hint="eastAsia"/>
        </w:rPr>
        <w:t>4.公司利息查询</w:t>
      </w:r>
      <w:bookmarkEnd w:id="105"/>
    </w:p>
    <w:p w14:paraId="24DA3555">
      <w:pPr>
        <w:pStyle w:val="26"/>
      </w:pPr>
      <w:r>
        <w:rPr>
          <w:rFonts w:hint="eastAsia"/>
        </w:rPr>
        <w:t>此菜单用以查询一段时间内所有客户给公司带来的利息收入情况。</w:t>
      </w:r>
    </w:p>
    <w:p w14:paraId="5B770589">
      <w:pPr>
        <w:pStyle w:val="3"/>
      </w:pPr>
      <w:r>
        <w:drawing>
          <wp:inline distT="0" distB="0" distL="114300" distR="114300">
            <wp:extent cx="5334000" cy="965835"/>
            <wp:effectExtent l="0" t="0" r="0" b="0"/>
            <wp:docPr id="417"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Picture" descr="image.png"/>
                    <pic:cNvPicPr>
                      <a:picLocks noChangeAspect="1" noChangeArrowheads="1"/>
                    </pic:cNvPicPr>
                  </pic:nvPicPr>
                  <pic:blipFill>
                    <a:blip r:embed="rId110"/>
                    <a:stretch>
                      <a:fillRect/>
                    </a:stretch>
                  </pic:blipFill>
                  <pic:spPr>
                    <a:xfrm>
                      <a:off x="0" y="0"/>
                      <a:ext cx="5334000" cy="966146"/>
                    </a:xfrm>
                    <a:prstGeom prst="rect">
                      <a:avLst/>
                    </a:prstGeom>
                    <a:noFill/>
                    <a:ln w="9525">
                      <a:noFill/>
                    </a:ln>
                  </pic:spPr>
                </pic:pic>
              </a:graphicData>
            </a:graphic>
          </wp:inline>
        </w:drawing>
      </w:r>
    </w:p>
    <w:p w14:paraId="068ADB14">
      <w:pPr>
        <w:pStyle w:val="3"/>
      </w:pPr>
      <w:r>
        <w:rPr>
          <w:rFonts w:hint="eastAsia"/>
        </w:rPr>
        <w:t>如果所有利息收入都使用统一的利率计算，那么此利率维护位置一般是在【参数管理】-&gt;【公司利率维护】中完成；如果公司内部考核办法要求对不同部门做差异化处理，或者有其他特殊的收入利率计算要求，那么具体利息率的维护方式，参考业务人员跟德索的约定，此处不做展开。</w:t>
      </w:r>
    </w:p>
    <w:p w14:paraId="0AD7A1A1">
      <w:r>
        <w:pict>
          <v:rect id="_x0000_i1031" o:spt="1" style="height:1.5pt;width:0pt;" coordsize="21600,21600" o:hr="t" o:hrstd="t" o:hralign="center">
            <v:path/>
            <v:fill focussize="0,0"/>
            <v:stroke/>
            <v:imagedata o:title=""/>
            <o:lock v:ext="edit"/>
            <w10:wrap type="none"/>
            <w10:anchorlock/>
          </v:rect>
        </w:pict>
      </w:r>
    </w:p>
    <w:bookmarkEnd w:id="98"/>
    <w:bookmarkEnd w:id="106"/>
    <w:p w14:paraId="4B5FDA77">
      <w:pPr>
        <w:pStyle w:val="4"/>
      </w:pPr>
      <w:bookmarkStart w:id="107" w:name="_Toc7621"/>
      <w:bookmarkStart w:id="108" w:name="八提成计算管理"/>
      <w:r>
        <w:rPr>
          <w:rFonts w:hint="eastAsia"/>
        </w:rPr>
        <w:t>八、提成计算管理</w:t>
      </w:r>
      <w:bookmarkEnd w:id="107"/>
    </w:p>
    <w:p w14:paraId="0ABE8432">
      <w:pPr>
        <w:pStyle w:val="5"/>
      </w:pPr>
      <w:bookmarkStart w:id="109" w:name="_Toc2661"/>
      <w:bookmarkStart w:id="110" w:name="提成计算"/>
      <w:r>
        <w:t xml:space="preserve">1. </w:t>
      </w:r>
      <w:r>
        <w:rPr>
          <w:rFonts w:hint="eastAsia"/>
        </w:rPr>
        <w:t>提成计算</w:t>
      </w:r>
      <w:bookmarkEnd w:id="109"/>
    </w:p>
    <w:p w14:paraId="2277E95D">
      <w:pPr>
        <w:pStyle w:val="26"/>
      </w:pPr>
      <w:r>
        <w:rPr>
          <w:rFonts w:hint="eastAsia"/>
        </w:rPr>
        <w:t>此功能，为手动发起对整个佣金提成管理模块进行指定月份的全部支出数据进行重算。</w:t>
      </w:r>
    </w:p>
    <w:p w14:paraId="6389FD6E">
      <w:pPr>
        <w:pStyle w:val="3"/>
      </w:pPr>
      <w:r>
        <w:drawing>
          <wp:inline distT="0" distB="0" distL="114300" distR="114300">
            <wp:extent cx="4143375" cy="981075"/>
            <wp:effectExtent l="0" t="0" r="0" b="0"/>
            <wp:docPr id="422"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Picture" descr="image.png"/>
                    <pic:cNvPicPr>
                      <a:picLocks noChangeAspect="1" noChangeArrowheads="1"/>
                    </pic:cNvPicPr>
                  </pic:nvPicPr>
                  <pic:blipFill>
                    <a:blip r:embed="rId111"/>
                    <a:stretch>
                      <a:fillRect/>
                    </a:stretch>
                  </pic:blipFill>
                  <pic:spPr>
                    <a:xfrm>
                      <a:off x="0" y="0"/>
                      <a:ext cx="4143599" cy="981128"/>
                    </a:xfrm>
                    <a:prstGeom prst="rect">
                      <a:avLst/>
                    </a:prstGeom>
                    <a:noFill/>
                    <a:ln w="9525">
                      <a:noFill/>
                    </a:ln>
                  </pic:spPr>
                </pic:pic>
              </a:graphicData>
            </a:graphic>
          </wp:inline>
        </w:drawing>
      </w:r>
    </w:p>
    <w:p w14:paraId="27A45A7E">
      <w:pPr>
        <w:pStyle w:val="3"/>
      </w:pPr>
      <w:r>
        <w:rPr>
          <w:rFonts w:hint="eastAsia"/>
        </w:rPr>
        <w:t>数据日期，只取到月份，如选择2019年06月25日，再点【佣金计算】，则计算的是2019年6月份的数据。</w:t>
      </w:r>
    </w:p>
    <w:p w14:paraId="395EB70A">
      <w:pPr>
        <w:pStyle w:val="13"/>
      </w:pPr>
      <w:r>
        <w:rPr>
          <w:rFonts w:hint="eastAsia"/>
          <w:b/>
          <w:bCs/>
        </w:rPr>
        <w:t>提示</w:t>
      </w:r>
    </w:p>
    <w:p w14:paraId="2CB9C175">
      <w:pPr>
        <w:pStyle w:val="13"/>
      </w:pPr>
      <w:r>
        <w:rPr>
          <w:rFonts w:hint="eastAsia"/>
          <w:b/>
          <w:bCs/>
        </w:rPr>
        <w:t>什么时候需要用到这个功能？</w:t>
      </w:r>
    </w:p>
    <w:p w14:paraId="09F21AA0">
      <w:pPr>
        <w:pStyle w:val="13"/>
      </w:pPr>
      <w:r>
        <w:rPr>
          <w:rFonts w:hint="eastAsia"/>
        </w:rPr>
        <w:t>系统每天盘后跑批时都会自动计算当月的最新数据,因此对于当月的数据，只需要等待系统自动跑批即可。</w:t>
      </w:r>
    </w:p>
    <w:p w14:paraId="2E277B08">
      <w:pPr>
        <w:pStyle w:val="13"/>
      </w:pPr>
      <w:r>
        <w:rPr>
          <w:rFonts w:hint="eastAsia"/>
        </w:rPr>
        <w:t>当期货公司临时调整了居间或员工等提成主体与客户的业绩关系（生效起止时间范围</w:t>
      </w:r>
      <w:r>
        <w:t xml:space="preserve"> </w:t>
      </w:r>
      <w:r>
        <w:rPr>
          <w:rFonts w:hint="eastAsia"/>
        </w:rPr>
        <w:t>或者比例</w:t>
      </w:r>
      <w:r>
        <w:t xml:space="preserve"> </w:t>
      </w:r>
      <w:r>
        <w:rPr>
          <w:rFonts w:hint="eastAsia"/>
        </w:rPr>
        <w:t>或者权重占比），或者改变了客户、居间或员工等提成主体的提成公式等，需要马上重算看到效果时，可以使用此界面的佣金计算功能。</w:t>
      </w:r>
    </w:p>
    <w:p w14:paraId="693D6B2F">
      <w:pPr>
        <w:pStyle w:val="13"/>
      </w:pPr>
      <w:r>
        <w:rPr>
          <w:rFonts w:hint="eastAsia"/>
        </w:rPr>
        <w:t>系统通常默认上个月的可以重算，而超过一个月之前的数据则不能再重算，具体视期货公司如何约定。</w:t>
      </w:r>
    </w:p>
    <w:bookmarkEnd w:id="110"/>
    <w:p w14:paraId="186C0087">
      <w:pPr>
        <w:pStyle w:val="5"/>
      </w:pPr>
      <w:bookmarkStart w:id="111" w:name="_Toc5951"/>
      <w:bookmarkStart w:id="112" w:name="提成计算-单客户"/>
      <w:r>
        <w:t xml:space="preserve">2. </w:t>
      </w:r>
      <w:r>
        <w:rPr>
          <w:rFonts w:hint="eastAsia"/>
        </w:rPr>
        <w:t>提成计算-单客户</w:t>
      </w:r>
      <w:bookmarkEnd w:id="111"/>
    </w:p>
    <w:p w14:paraId="4187E1FA">
      <w:pPr>
        <w:pStyle w:val="26"/>
      </w:pPr>
      <w:r>
        <w:rPr>
          <w:rFonts w:hint="eastAsia"/>
        </w:rPr>
        <w:t>此功能，为手动发起对单个客户或业务人员的数据进行指定月份的全部支出数据进行重算。</w:t>
      </w:r>
    </w:p>
    <w:p w14:paraId="2B49F419">
      <w:pPr>
        <w:pStyle w:val="3"/>
      </w:pPr>
      <w:r>
        <w:drawing>
          <wp:inline distT="0" distB="0" distL="114300" distR="114300">
            <wp:extent cx="4762500" cy="1562100"/>
            <wp:effectExtent l="0" t="0" r="0" b="0"/>
            <wp:docPr id="426"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Picture" descr="image.png"/>
                    <pic:cNvPicPr>
                      <a:picLocks noChangeAspect="1" noChangeArrowheads="1"/>
                    </pic:cNvPicPr>
                  </pic:nvPicPr>
                  <pic:blipFill>
                    <a:blip r:embed="rId112"/>
                    <a:stretch>
                      <a:fillRect/>
                    </a:stretch>
                  </pic:blipFill>
                  <pic:spPr>
                    <a:xfrm>
                      <a:off x="0" y="0"/>
                      <a:ext cx="4762799" cy="1562198"/>
                    </a:xfrm>
                    <a:prstGeom prst="rect">
                      <a:avLst/>
                    </a:prstGeom>
                    <a:noFill/>
                    <a:ln w="9525">
                      <a:noFill/>
                    </a:ln>
                  </pic:spPr>
                </pic:pic>
              </a:graphicData>
            </a:graphic>
          </wp:inline>
        </w:drawing>
      </w:r>
    </w:p>
    <w:bookmarkEnd w:id="108"/>
    <w:bookmarkEnd w:id="112"/>
    <w:p w14:paraId="7877F485">
      <w:pPr>
        <w:pStyle w:val="4"/>
      </w:pPr>
      <w:bookmarkStart w:id="113" w:name="_Toc22705"/>
      <w:bookmarkStart w:id="114" w:name="九页面管理"/>
      <w:r>
        <w:rPr>
          <w:rFonts w:hint="eastAsia"/>
        </w:rPr>
        <w:t>九、页面管理</w:t>
      </w:r>
      <w:bookmarkEnd w:id="113"/>
    </w:p>
    <w:p w14:paraId="766FC29C">
      <w:pPr>
        <w:pStyle w:val="26"/>
      </w:pPr>
      <w:r>
        <w:rPr>
          <w:rFonts w:hint="eastAsia"/>
        </w:rPr>
        <w:t>此界面用于对页面进行自定义设置，以满足各期货公司个性化的信息维护需求，通常在模块上线时</w:t>
      </w:r>
      <w:r>
        <w:t xml:space="preserve"> </w:t>
      </w:r>
      <w:r>
        <w:rPr>
          <w:rFonts w:hint="eastAsia"/>
        </w:rPr>
        <w:t>或者</w:t>
      </w:r>
      <w:r>
        <w:t xml:space="preserve"> </w:t>
      </w:r>
      <w:r>
        <w:rPr>
          <w:rFonts w:hint="eastAsia"/>
        </w:rPr>
        <w:t>业务发生调整，对录入信息有调整时使用；</w:t>
      </w:r>
    </w:p>
    <w:p w14:paraId="48C84DC4">
      <w:pPr>
        <w:pStyle w:val="3"/>
      </w:pPr>
      <w:r>
        <w:drawing>
          <wp:inline distT="0" distB="0" distL="114300" distR="114300">
            <wp:extent cx="5334000" cy="1113155"/>
            <wp:effectExtent l="0" t="0" r="0" b="0"/>
            <wp:docPr id="431"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Picture" descr="image.png"/>
                    <pic:cNvPicPr>
                      <a:picLocks noChangeAspect="1" noChangeArrowheads="1"/>
                    </pic:cNvPicPr>
                  </pic:nvPicPr>
                  <pic:blipFill>
                    <a:blip r:embed="rId113"/>
                    <a:stretch>
                      <a:fillRect/>
                    </a:stretch>
                  </pic:blipFill>
                  <pic:spPr>
                    <a:xfrm>
                      <a:off x="0" y="0"/>
                      <a:ext cx="5334000" cy="1113577"/>
                    </a:xfrm>
                    <a:prstGeom prst="rect">
                      <a:avLst/>
                    </a:prstGeom>
                    <a:noFill/>
                    <a:ln w="9525">
                      <a:noFill/>
                    </a:ln>
                  </pic:spPr>
                </pic:pic>
              </a:graphicData>
            </a:graphic>
          </wp:inline>
        </w:drawing>
      </w:r>
    </w:p>
    <w:p w14:paraId="58D55EBC">
      <w:pPr>
        <w:pStyle w:val="27"/>
        <w:numPr>
          <w:ilvl w:val="0"/>
          <w:numId w:val="8"/>
        </w:numPr>
      </w:pPr>
      <w:r>
        <w:rPr>
          <w:rFonts w:hint="eastAsia"/>
        </w:rPr>
        <w:t>系统为每个页面提供一个默认的模板，如居间人信息维护，业绩关系维护，利益冲突筛查等。通过页面名称基本上可以对应到实际使用的菜单。</w:t>
      </w:r>
    </w:p>
    <w:p w14:paraId="6C719D4B">
      <w:pPr>
        <w:pStyle w:val="27"/>
        <w:numPr>
          <w:ilvl w:val="0"/>
          <w:numId w:val="8"/>
        </w:numPr>
      </w:pPr>
      <w:r>
        <w:rPr>
          <w:rFonts w:hint="eastAsia"/>
          <w:b/>
          <w:bCs/>
        </w:rPr>
        <w:t>是否可拓展</w:t>
      </w:r>
      <w:r>
        <w:rPr>
          <w:rFonts w:hint="eastAsia"/>
        </w:rPr>
        <w:t>：如果是可拓展，则允许期货公司自行添加自定义字段，反之，则只能调整现有字段的顺序。目前提供的模板里，居间人信息可拓展，业绩关系，利益冲突筛查结果不可拓展。</w:t>
      </w:r>
    </w:p>
    <w:p w14:paraId="68BCE186">
      <w:pPr>
        <w:pStyle w:val="27"/>
        <w:numPr>
          <w:ilvl w:val="0"/>
          <w:numId w:val="8"/>
        </w:numPr>
      </w:pPr>
      <w:r>
        <w:rPr>
          <w:rFonts w:hint="eastAsia"/>
          <w:b/>
          <w:bCs/>
        </w:rPr>
        <w:t>修改</w:t>
      </w:r>
      <w:r>
        <w:rPr>
          <w:rFonts w:hint="eastAsia"/>
        </w:rPr>
        <w:t>：目前就页面状态有用，用于控制当前页面是否有效；</w:t>
      </w:r>
    </w:p>
    <w:p w14:paraId="1D2A9C33">
      <w:pPr>
        <w:pStyle w:val="26"/>
      </w:pPr>
      <w:r>
        <w:drawing>
          <wp:inline distT="0" distB="0" distL="114300" distR="114300">
            <wp:extent cx="4103370" cy="3723005"/>
            <wp:effectExtent l="0" t="0" r="0" b="0"/>
            <wp:docPr id="434"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Picture" descr="image.png"/>
                    <pic:cNvPicPr>
                      <a:picLocks noChangeAspect="1" noChangeArrowheads="1"/>
                    </pic:cNvPicPr>
                  </pic:nvPicPr>
                  <pic:blipFill>
                    <a:blip r:embed="rId114"/>
                    <a:stretch>
                      <a:fillRect/>
                    </a:stretch>
                  </pic:blipFill>
                  <pic:spPr>
                    <a:xfrm>
                      <a:off x="0" y="0"/>
                      <a:ext cx="4103999" cy="3723118"/>
                    </a:xfrm>
                    <a:prstGeom prst="rect">
                      <a:avLst/>
                    </a:prstGeom>
                    <a:noFill/>
                    <a:ln w="9525">
                      <a:noFill/>
                    </a:ln>
                  </pic:spPr>
                </pic:pic>
              </a:graphicData>
            </a:graphic>
          </wp:inline>
        </w:drawing>
      </w:r>
    </w:p>
    <w:p w14:paraId="1348CD11">
      <w:pPr>
        <w:pStyle w:val="3"/>
      </w:pPr>
      <w:r>
        <w:rPr>
          <w:rFonts w:hint="eastAsia"/>
        </w:rPr>
        <w:t>目前，居间人信息查询，维护，审核</w:t>
      </w:r>
      <w:r>
        <w:t xml:space="preserve"> </w:t>
      </w:r>
      <w:r>
        <w:rPr>
          <w:rFonts w:hint="eastAsia"/>
          <w:b/>
          <w:bCs/>
        </w:rPr>
        <w:t>共用一个模板</w:t>
      </w:r>
      <w:r>
        <w:rPr>
          <w:rFonts w:hint="eastAsia"/>
        </w:rPr>
        <w:t>；同理，居间人业绩关系的查询，维护，审核</w:t>
      </w:r>
      <w:r>
        <w:t xml:space="preserve"> </w:t>
      </w:r>
      <w:r>
        <w:rPr>
          <w:rFonts w:hint="eastAsia"/>
        </w:rPr>
        <w:t>也共用一个模板；</w:t>
      </w:r>
    </w:p>
    <w:p w14:paraId="40ED5041">
      <w:pPr>
        <w:pStyle w:val="5"/>
      </w:pPr>
      <w:bookmarkStart w:id="115" w:name="_Toc31688"/>
      <w:bookmarkStart w:id="116" w:name="详情设置"/>
      <w:r>
        <w:t xml:space="preserve">1. </w:t>
      </w:r>
      <w:r>
        <w:rPr>
          <w:rFonts w:hint="eastAsia"/>
          <w:b/>
          <w:bCs/>
        </w:rPr>
        <w:t>详情设置</w:t>
      </w:r>
      <w:bookmarkEnd w:id="115"/>
    </w:p>
    <w:p w14:paraId="30E36DA7">
      <w:pPr>
        <w:pStyle w:val="26"/>
      </w:pPr>
      <w:r>
        <w:rPr>
          <w:rFonts w:hint="eastAsia"/>
        </w:rPr>
        <w:t>用于自定义录入，修改，审核看到的详情页面。</w:t>
      </w:r>
    </w:p>
    <w:p w14:paraId="06C04053">
      <w:pPr>
        <w:pStyle w:val="3"/>
      </w:pPr>
      <w:r>
        <w:rPr>
          <w:rFonts w:hint="eastAsia"/>
        </w:rPr>
        <w:t>如果时不支持拓展的页面，则详情页设置仅包含公共字段；若支持拓展，则额外提供自定义字段。</w:t>
      </w:r>
    </w:p>
    <w:p w14:paraId="53F8411E">
      <w:pPr>
        <w:pStyle w:val="3"/>
      </w:pPr>
      <w:r>
        <w:drawing>
          <wp:inline distT="0" distB="0" distL="114300" distR="114300">
            <wp:extent cx="2390140" cy="3866515"/>
            <wp:effectExtent l="0" t="0" r="0" b="0"/>
            <wp:docPr id="437"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Picture" descr="image.png"/>
                    <pic:cNvPicPr>
                      <a:picLocks noChangeAspect="1" noChangeArrowheads="1"/>
                    </pic:cNvPicPr>
                  </pic:nvPicPr>
                  <pic:blipFill>
                    <a:blip r:embed="rId115"/>
                    <a:stretch>
                      <a:fillRect/>
                    </a:stretch>
                  </pic:blipFill>
                  <pic:spPr>
                    <a:xfrm>
                      <a:off x="0" y="0"/>
                      <a:ext cx="2390399" cy="3866543"/>
                    </a:xfrm>
                    <a:prstGeom prst="rect">
                      <a:avLst/>
                    </a:prstGeom>
                    <a:noFill/>
                    <a:ln w="9525">
                      <a:noFill/>
                    </a:ln>
                  </pic:spPr>
                </pic:pic>
              </a:graphicData>
            </a:graphic>
          </wp:inline>
        </w:drawing>
      </w:r>
    </w:p>
    <w:p w14:paraId="3555C11C">
      <w:pPr>
        <w:pStyle w:val="3"/>
      </w:pPr>
      <w:r>
        <w:rPr>
          <w:rFonts w:hint="eastAsia"/>
          <w:b/>
          <w:bCs/>
        </w:rPr>
        <w:t>公共字段</w:t>
      </w:r>
      <w:r>
        <w:rPr>
          <w:rFonts w:hint="eastAsia"/>
        </w:rPr>
        <w:t>：</w:t>
      </w:r>
    </w:p>
    <w:p w14:paraId="27951202">
      <w:pPr>
        <w:pStyle w:val="27"/>
        <w:numPr>
          <w:ilvl w:val="0"/>
          <w:numId w:val="2"/>
        </w:numPr>
      </w:pPr>
      <w:r>
        <w:rPr>
          <w:rFonts w:hint="eastAsia"/>
        </w:rPr>
        <w:t>系统内置的字段，只能选择是否在详情页展示，不可完全删除；</w:t>
      </w:r>
    </w:p>
    <w:p w14:paraId="42051C10">
      <w:pPr>
        <w:pStyle w:val="27"/>
        <w:numPr>
          <w:ilvl w:val="0"/>
          <w:numId w:val="2"/>
        </w:numPr>
      </w:pPr>
      <w:r>
        <w:rPr>
          <w:rFonts w:hint="eastAsia"/>
        </w:rPr>
        <w:t>公共字段作为列表页面的支持排序功能；</w:t>
      </w:r>
    </w:p>
    <w:p w14:paraId="11ABCD98">
      <w:pPr>
        <w:pStyle w:val="27"/>
        <w:numPr>
          <w:ilvl w:val="0"/>
          <w:numId w:val="2"/>
        </w:numPr>
      </w:pPr>
      <w:r>
        <w:rPr>
          <w:rFonts w:hint="eastAsia"/>
        </w:rPr>
        <w:t>公共字段可以作为查询区的筛选条件；</w:t>
      </w:r>
    </w:p>
    <w:p w14:paraId="5564B0BA">
      <w:pPr>
        <w:pStyle w:val="26"/>
      </w:pPr>
      <w:r>
        <w:rPr>
          <w:rFonts w:hint="eastAsia"/>
          <w:b/>
          <w:bCs/>
        </w:rPr>
        <w:t>自定义字段</w:t>
      </w:r>
      <w:r>
        <w:rPr>
          <w:rFonts w:hint="eastAsia"/>
        </w:rPr>
        <w:t>：</w:t>
      </w:r>
    </w:p>
    <w:p w14:paraId="114D9574">
      <w:pPr>
        <w:pStyle w:val="27"/>
        <w:numPr>
          <w:ilvl w:val="0"/>
          <w:numId w:val="2"/>
        </w:numPr>
      </w:pPr>
      <w:r>
        <w:rPr>
          <w:rFonts w:hint="eastAsia"/>
        </w:rPr>
        <w:t>完全由使用者自定义，可以选择是否在详情页展示，也可以删除；</w:t>
      </w:r>
    </w:p>
    <w:p w14:paraId="197460E3">
      <w:pPr>
        <w:pStyle w:val="27"/>
        <w:numPr>
          <w:ilvl w:val="0"/>
          <w:numId w:val="2"/>
        </w:numPr>
      </w:pPr>
      <w:r>
        <w:rPr>
          <w:rFonts w:hint="eastAsia"/>
        </w:rPr>
        <w:t>自定义字段作为列表页面的表头</w:t>
      </w:r>
      <w:r>
        <w:rPr>
          <w:rFonts w:hint="eastAsia"/>
          <w:b/>
          <w:bCs/>
        </w:rPr>
        <w:t>不支持排序</w:t>
      </w:r>
      <w:r>
        <w:rPr>
          <w:rFonts w:hint="eastAsia"/>
        </w:rPr>
        <w:t>功能。</w:t>
      </w:r>
    </w:p>
    <w:p w14:paraId="491DAE84">
      <w:pPr>
        <w:pStyle w:val="27"/>
        <w:numPr>
          <w:ilvl w:val="0"/>
          <w:numId w:val="2"/>
        </w:numPr>
      </w:pPr>
      <w:r>
        <w:rPr>
          <w:rFonts w:hint="eastAsia"/>
        </w:rPr>
        <w:t>自定义字段可以作为查询区的筛选条件；</w:t>
      </w:r>
    </w:p>
    <w:p w14:paraId="47C1189D">
      <w:pPr>
        <w:pStyle w:val="27"/>
        <w:numPr>
          <w:ilvl w:val="0"/>
          <w:numId w:val="2"/>
        </w:numPr>
      </w:pPr>
      <w:r>
        <w:rPr>
          <w:rFonts w:hint="eastAsia"/>
        </w:rPr>
        <w:t>单选，多选，下拉框</w:t>
      </w:r>
      <w:r>
        <w:t xml:space="preserve"> </w:t>
      </w:r>
      <w:r>
        <w:rPr>
          <w:rFonts w:hint="eastAsia"/>
        </w:rPr>
        <w:t>提供的侯选项为</w:t>
      </w:r>
      <w:r>
        <w:t xml:space="preserve"> </w:t>
      </w:r>
      <w:r>
        <w:rPr>
          <w:rFonts w:hint="eastAsia"/>
        </w:rPr>
        <w:t>CRM系统的码表；</w:t>
      </w:r>
    </w:p>
    <w:p w14:paraId="76778D2E">
      <w:pPr>
        <w:pStyle w:val="27"/>
        <w:numPr>
          <w:ilvl w:val="0"/>
          <w:numId w:val="2"/>
        </w:numPr>
      </w:pPr>
      <w:r>
        <w:rPr>
          <w:rFonts w:hint="eastAsia"/>
        </w:rPr>
        <w:t>附件上传，候选项为【影像资料管理】-&gt;【影像参数列表】；</w:t>
      </w:r>
    </w:p>
    <w:p w14:paraId="74493CD8">
      <w:pPr>
        <w:pStyle w:val="27"/>
        <w:numPr>
          <w:ilvl w:val="0"/>
          <w:numId w:val="2"/>
        </w:numPr>
      </w:pPr>
      <w:r>
        <w:rPr>
          <w:rFonts w:hint="eastAsia"/>
        </w:rPr>
        <w:t>可以选择该字段是否展示在</w:t>
      </w:r>
      <w:r>
        <w:t xml:space="preserve"> </w:t>
      </w:r>
      <w:r>
        <w:rPr>
          <w:rFonts w:hint="eastAsia"/>
        </w:rPr>
        <w:t>查询区</w:t>
      </w:r>
      <w:r>
        <w:t xml:space="preserve"> </w:t>
      </w:r>
      <w:r>
        <w:rPr>
          <w:rFonts w:hint="eastAsia"/>
        </w:rPr>
        <w:t>和</w:t>
      </w:r>
      <w:r>
        <w:t xml:space="preserve"> </w:t>
      </w:r>
      <w:r>
        <w:rPr>
          <w:rFonts w:hint="eastAsia"/>
        </w:rPr>
        <w:t>列表中；</w:t>
      </w:r>
    </w:p>
    <w:p w14:paraId="0FD388EB">
      <w:pPr>
        <w:pStyle w:val="26"/>
      </w:pPr>
      <w:r>
        <w:rPr>
          <w:rFonts w:hint="eastAsia"/>
        </w:rPr>
        <w:t>对字段的操作包括以下三种：</w:t>
      </w:r>
    </w:p>
    <w:p w14:paraId="626E752E">
      <w:pPr>
        <w:pStyle w:val="3"/>
      </w:pPr>
      <w:r>
        <w:drawing>
          <wp:inline distT="0" distB="0" distL="114300" distR="114300">
            <wp:extent cx="1076325" cy="352425"/>
            <wp:effectExtent l="0" t="0" r="0" b="0"/>
            <wp:docPr id="440"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Picture" descr="image.png"/>
                    <pic:cNvPicPr>
                      <a:picLocks noChangeAspect="1" noChangeArrowheads="1"/>
                    </pic:cNvPicPr>
                  </pic:nvPicPr>
                  <pic:blipFill>
                    <a:blip r:embed="rId116"/>
                    <a:stretch>
                      <a:fillRect/>
                    </a:stretch>
                  </pic:blipFill>
                  <pic:spPr>
                    <a:xfrm>
                      <a:off x="0" y="0"/>
                      <a:ext cx="1076399" cy="352449"/>
                    </a:xfrm>
                    <a:prstGeom prst="rect">
                      <a:avLst/>
                    </a:prstGeom>
                    <a:noFill/>
                    <a:ln w="9525">
                      <a:noFill/>
                    </a:ln>
                  </pic:spPr>
                </pic:pic>
              </a:graphicData>
            </a:graphic>
          </wp:inline>
        </w:drawing>
      </w:r>
    </w:p>
    <w:p w14:paraId="41DDBB1D">
      <w:pPr>
        <w:pStyle w:val="27"/>
        <w:numPr>
          <w:ilvl w:val="0"/>
          <w:numId w:val="9"/>
        </w:numPr>
      </w:pPr>
      <w:r>
        <w:rPr>
          <w:rFonts w:hint="eastAsia"/>
        </w:rPr>
        <w:t>齿轮：设置在详情页显示的名称，以及该字段是否必填，以及数据源选择；</w:t>
      </w:r>
    </w:p>
    <w:p w14:paraId="3598CC54">
      <w:pPr>
        <w:pStyle w:val="26"/>
      </w:pPr>
      <w:r>
        <w:drawing>
          <wp:inline distT="0" distB="0" distL="114300" distR="114300">
            <wp:extent cx="5334000" cy="7958455"/>
            <wp:effectExtent l="0" t="0" r="0" b="0"/>
            <wp:docPr id="443"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Picture" descr="image.png"/>
                    <pic:cNvPicPr>
                      <a:picLocks noChangeAspect="1" noChangeArrowheads="1"/>
                    </pic:cNvPicPr>
                  </pic:nvPicPr>
                  <pic:blipFill>
                    <a:blip r:embed="rId117"/>
                    <a:stretch>
                      <a:fillRect/>
                    </a:stretch>
                  </pic:blipFill>
                  <pic:spPr>
                    <a:xfrm>
                      <a:off x="0" y="0"/>
                      <a:ext cx="5334000" cy="7958857"/>
                    </a:xfrm>
                    <a:prstGeom prst="rect">
                      <a:avLst/>
                    </a:prstGeom>
                    <a:noFill/>
                    <a:ln w="9525">
                      <a:noFill/>
                    </a:ln>
                  </pic:spPr>
                </pic:pic>
              </a:graphicData>
            </a:graphic>
          </wp:inline>
        </w:drawing>
      </w:r>
      <w:r>
        <w:drawing>
          <wp:inline distT="0" distB="0" distL="114300" distR="114300">
            <wp:extent cx="5334000" cy="6078220"/>
            <wp:effectExtent l="0" t="0" r="0" b="0"/>
            <wp:docPr id="446"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Picture" descr="image.png"/>
                    <pic:cNvPicPr>
                      <a:picLocks noChangeAspect="1" noChangeArrowheads="1"/>
                    </pic:cNvPicPr>
                  </pic:nvPicPr>
                  <pic:blipFill>
                    <a:blip r:embed="rId118"/>
                    <a:stretch>
                      <a:fillRect/>
                    </a:stretch>
                  </pic:blipFill>
                  <pic:spPr>
                    <a:xfrm>
                      <a:off x="0" y="0"/>
                      <a:ext cx="5334000" cy="6078516"/>
                    </a:xfrm>
                    <a:prstGeom prst="rect">
                      <a:avLst/>
                    </a:prstGeom>
                    <a:noFill/>
                    <a:ln w="9525">
                      <a:noFill/>
                    </a:ln>
                  </pic:spPr>
                </pic:pic>
              </a:graphicData>
            </a:graphic>
          </wp:inline>
        </w:drawing>
      </w:r>
    </w:p>
    <w:p w14:paraId="6E2F8FB1">
      <w:pPr>
        <w:pStyle w:val="3"/>
      </w:pPr>
      <w:r>
        <w:rPr>
          <w:rFonts w:hint="eastAsia"/>
        </w:rPr>
        <w:t>应用场景：指在哪个场景里显示该字段。某个字段新添加或者系统初始化的时候，默认所有场景全选。</w:t>
      </w:r>
    </w:p>
    <w:p w14:paraId="18DDDE35">
      <w:pPr>
        <w:pStyle w:val="3"/>
      </w:pPr>
      <w:r>
        <w:drawing>
          <wp:inline distT="0" distB="0" distL="114300" distR="114300">
            <wp:extent cx="4780280" cy="5342255"/>
            <wp:effectExtent l="0" t="0" r="0" b="0"/>
            <wp:docPr id="449"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Picture" descr="image.png"/>
                    <pic:cNvPicPr>
                      <a:picLocks noChangeAspect="1" noChangeArrowheads="1"/>
                    </pic:cNvPicPr>
                  </pic:nvPicPr>
                  <pic:blipFill>
                    <a:blip r:embed="rId119"/>
                    <a:stretch>
                      <a:fillRect/>
                    </a:stretch>
                  </pic:blipFill>
                  <pic:spPr>
                    <a:xfrm>
                      <a:off x="0" y="0"/>
                      <a:ext cx="4780799" cy="5342686"/>
                    </a:xfrm>
                    <a:prstGeom prst="rect">
                      <a:avLst/>
                    </a:prstGeom>
                    <a:noFill/>
                    <a:ln w="9525">
                      <a:noFill/>
                    </a:ln>
                  </pic:spPr>
                </pic:pic>
              </a:graphicData>
            </a:graphic>
          </wp:inline>
        </w:drawing>
      </w:r>
    </w:p>
    <w:p w14:paraId="464CAB4F">
      <w:pPr>
        <w:pStyle w:val="3"/>
      </w:pPr>
      <w:r>
        <w:rPr>
          <w:rFonts w:hint="eastAsia"/>
        </w:rPr>
        <w:t>是否显示：该字段是否在查询条件区、查询列表区显示</w:t>
      </w:r>
    </w:p>
    <w:p w14:paraId="1BC051D6">
      <w:pPr>
        <w:pStyle w:val="3"/>
      </w:pPr>
      <w:r>
        <w:drawing>
          <wp:inline distT="0" distB="0" distL="114300" distR="114300">
            <wp:extent cx="5334000" cy="4148455"/>
            <wp:effectExtent l="0" t="0" r="0" b="0"/>
            <wp:docPr id="452" name="Picture"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Picture" descr="image.png"/>
                    <pic:cNvPicPr>
                      <a:picLocks noChangeAspect="1" noChangeArrowheads="1"/>
                    </pic:cNvPicPr>
                  </pic:nvPicPr>
                  <pic:blipFill>
                    <a:blip r:embed="rId120"/>
                    <a:stretch>
                      <a:fillRect/>
                    </a:stretch>
                  </pic:blipFill>
                  <pic:spPr>
                    <a:xfrm>
                      <a:off x="0" y="0"/>
                      <a:ext cx="5334000" cy="4148666"/>
                    </a:xfrm>
                    <a:prstGeom prst="rect">
                      <a:avLst/>
                    </a:prstGeom>
                    <a:noFill/>
                    <a:ln w="9525">
                      <a:noFill/>
                    </a:ln>
                  </pic:spPr>
                </pic:pic>
              </a:graphicData>
            </a:graphic>
          </wp:inline>
        </w:drawing>
      </w:r>
    </w:p>
    <w:p w14:paraId="2124B73B">
      <w:pPr>
        <w:pStyle w:val="27"/>
        <w:numPr>
          <w:ilvl w:val="0"/>
          <w:numId w:val="10"/>
        </w:numPr>
      </w:pPr>
      <w:r>
        <w:rPr>
          <w:rFonts w:hint="eastAsia"/>
        </w:rPr>
        <w:t>减号：隐藏，移到左边作为可用字段，不在详情页中显示；</w:t>
      </w:r>
    </w:p>
    <w:p w14:paraId="0A7767AC">
      <w:pPr>
        <w:pStyle w:val="27"/>
        <w:numPr>
          <w:ilvl w:val="0"/>
          <w:numId w:val="10"/>
        </w:numPr>
      </w:pPr>
      <w:r>
        <w:rPr>
          <w:rFonts w:hint="eastAsia"/>
        </w:rPr>
        <w:t>删除：删除该字段，仅自定义字段可以删除，公共字段无法删除；</w:t>
      </w:r>
    </w:p>
    <w:p w14:paraId="45B69998">
      <w:pPr>
        <w:pStyle w:val="26"/>
      </w:pPr>
      <w:r>
        <w:rPr>
          <w:rFonts w:hint="eastAsia"/>
        </w:rPr>
        <w:t>下面以居间人信息维护的详情页为例进行操作演示：</w:t>
      </w:r>
    </w:p>
    <w:p w14:paraId="33B84759">
      <w:pPr>
        <w:pStyle w:val="3"/>
      </w:pPr>
      <w:r>
        <w:fldChar w:fldCharType="begin"/>
      </w:r>
      <w:r>
        <w:instrText xml:space="preserve"> HYPERLINK "/videos/页面详情设置.mp4" \h </w:instrText>
      </w:r>
      <w:r>
        <w:fldChar w:fldCharType="separate"/>
      </w:r>
      <w:r>
        <w:rPr>
          <w:rStyle w:val="23"/>
          <w:rFonts w:hint="eastAsia"/>
        </w:rPr>
        <w:t>页面详情设置.mp4</w:t>
      </w:r>
      <w:r>
        <w:rPr>
          <w:rStyle w:val="23"/>
          <w:rFonts w:hint="eastAsia"/>
        </w:rPr>
        <w:fldChar w:fldCharType="end"/>
      </w:r>
    </w:p>
    <w:bookmarkEnd w:id="116"/>
    <w:p w14:paraId="3055F43A">
      <w:pPr>
        <w:pStyle w:val="5"/>
      </w:pPr>
      <w:bookmarkStart w:id="117" w:name="_Toc15852"/>
      <w:bookmarkStart w:id="118" w:name="查询设置"/>
      <w:r>
        <w:t xml:space="preserve">2. </w:t>
      </w:r>
      <w:r>
        <w:rPr>
          <w:rFonts w:hint="eastAsia"/>
        </w:rPr>
        <w:t>查询设置</w:t>
      </w:r>
      <w:bookmarkEnd w:id="117"/>
    </w:p>
    <w:p w14:paraId="45D99333">
      <w:pPr>
        <w:pStyle w:val="26"/>
      </w:pPr>
      <w:r>
        <w:rPr>
          <w:rFonts w:hint="eastAsia"/>
        </w:rPr>
        <w:t>在此界面维护页面的查询条件；</w:t>
      </w:r>
    </w:p>
    <w:p w14:paraId="481627D7">
      <w:pPr>
        <w:pStyle w:val="3"/>
      </w:pPr>
      <w:r>
        <w:rPr>
          <w:rFonts w:hint="eastAsia"/>
        </w:rPr>
        <w:t>以居间人信息的查询页为例进行操作演示：</w:t>
      </w:r>
    </w:p>
    <w:p w14:paraId="053A395B">
      <w:pPr>
        <w:pStyle w:val="3"/>
      </w:pPr>
      <w:r>
        <w:fldChar w:fldCharType="begin"/>
      </w:r>
      <w:r>
        <w:instrText xml:space="preserve"> HYPERLINK "/videos/页面查询设置.mp4" \h </w:instrText>
      </w:r>
      <w:r>
        <w:fldChar w:fldCharType="separate"/>
      </w:r>
      <w:r>
        <w:rPr>
          <w:rStyle w:val="23"/>
          <w:rFonts w:hint="eastAsia"/>
        </w:rPr>
        <w:t>页面查询设置.mp4</w:t>
      </w:r>
      <w:r>
        <w:rPr>
          <w:rStyle w:val="23"/>
          <w:rFonts w:hint="eastAsia"/>
        </w:rPr>
        <w:fldChar w:fldCharType="end"/>
      </w:r>
    </w:p>
    <w:bookmarkEnd w:id="118"/>
    <w:p w14:paraId="4D6E4B61">
      <w:pPr>
        <w:pStyle w:val="5"/>
      </w:pPr>
      <w:bookmarkStart w:id="119" w:name="_Toc4147"/>
      <w:bookmarkStart w:id="120" w:name="列表设置"/>
      <w:r>
        <w:t xml:space="preserve">3. </w:t>
      </w:r>
      <w:r>
        <w:rPr>
          <w:rFonts w:hint="eastAsia"/>
        </w:rPr>
        <w:t>列表设置</w:t>
      </w:r>
      <w:bookmarkEnd w:id="119"/>
    </w:p>
    <w:p w14:paraId="13A00C33">
      <w:pPr>
        <w:pStyle w:val="26"/>
      </w:pPr>
      <w:r>
        <w:rPr>
          <w:rFonts w:hint="eastAsia"/>
        </w:rPr>
        <w:t>在此界面设置查询的列表的表头显示内容，显示与否，以及显示顺序；</w:t>
      </w:r>
    </w:p>
    <w:p w14:paraId="6A7031F3">
      <w:pPr>
        <w:pStyle w:val="3"/>
      </w:pPr>
      <w:r>
        <w:rPr>
          <w:rFonts w:hint="eastAsia"/>
        </w:rPr>
        <w:t>以居间人信息的查询页为例进行操作演示：</w:t>
      </w:r>
    </w:p>
    <w:p w14:paraId="7C757D05">
      <w:pPr>
        <w:pStyle w:val="3"/>
      </w:pPr>
      <w:r>
        <w:fldChar w:fldCharType="begin"/>
      </w:r>
      <w:r>
        <w:instrText xml:space="preserve"> HYPERLINK "/videos/页面列表设置.mp4" \h </w:instrText>
      </w:r>
      <w:r>
        <w:fldChar w:fldCharType="separate"/>
      </w:r>
      <w:r>
        <w:rPr>
          <w:rStyle w:val="23"/>
          <w:rFonts w:hint="eastAsia"/>
        </w:rPr>
        <w:t>页面列表设置.mp4</w:t>
      </w:r>
      <w:r>
        <w:rPr>
          <w:rStyle w:val="23"/>
          <w:rFonts w:hint="eastAsia"/>
        </w:rPr>
        <w:fldChar w:fldCharType="end"/>
      </w:r>
    </w:p>
    <w:bookmarkEnd w:id="114"/>
    <w:bookmarkEnd w:id="120"/>
    <w:p w14:paraId="28B6B8DB">
      <w:pPr>
        <w:pStyle w:val="4"/>
      </w:pPr>
      <w:bookmarkStart w:id="121" w:name="_Toc15991"/>
      <w:bookmarkStart w:id="122" w:name="十qa"/>
      <w:r>
        <w:rPr>
          <w:rFonts w:hint="eastAsia"/>
        </w:rPr>
        <w:t>十、Q&amp;A</w:t>
      </w:r>
      <w:bookmarkEnd w:id="121"/>
    </w:p>
    <w:p w14:paraId="3E6B797B">
      <w:pPr>
        <w:pStyle w:val="27"/>
        <w:numPr>
          <w:ilvl w:val="0"/>
          <w:numId w:val="11"/>
        </w:numPr>
      </w:pPr>
      <w:r>
        <w:rPr>
          <w:rFonts w:hint="eastAsia"/>
          <w:b/>
          <w:bCs/>
        </w:rPr>
        <w:t>Q：几个手动计算功能，各自计算范围或内容有什么区别？</w:t>
      </w:r>
    </w:p>
    <w:p w14:paraId="7BF3BA41">
      <w:pPr>
        <w:pStyle w:val="27"/>
        <w:numPr>
          <w:ilvl w:val="0"/>
          <w:numId w:val="2"/>
        </w:numPr>
      </w:pPr>
      <w:r>
        <w:rPr>
          <w:rFonts w:hint="eastAsia"/>
          <w:b/>
          <w:bCs/>
        </w:rPr>
        <w:t>【A】：</w:t>
      </w:r>
    </w:p>
    <w:tbl>
      <w:tblPr>
        <w:tblStyle w:val="44"/>
        <w:tblW w:w="5000" w:type="pct"/>
        <w:tblInd w:w="0" w:type="dxa"/>
        <w:tblLayout w:type="fixed"/>
        <w:tblCellMar>
          <w:top w:w="0" w:type="dxa"/>
          <w:left w:w="108" w:type="dxa"/>
          <w:bottom w:w="0" w:type="dxa"/>
          <w:right w:w="108" w:type="dxa"/>
        </w:tblCellMar>
      </w:tblPr>
      <w:tblGrid>
        <w:gridCol w:w="452"/>
        <w:gridCol w:w="3072"/>
        <w:gridCol w:w="5332"/>
      </w:tblGrid>
      <w:tr w14:paraId="761961F4">
        <w:tblPrEx>
          <w:tblCellMar>
            <w:top w:w="0" w:type="dxa"/>
            <w:left w:w="108" w:type="dxa"/>
            <w:bottom w:w="0" w:type="dxa"/>
            <w:right w:w="108" w:type="dxa"/>
          </w:tblCellMar>
        </w:tblPrEx>
        <w:trPr>
          <w:tblHeader/>
        </w:trPr>
        <w:tc>
          <w:p w14:paraId="7D23C677">
            <w:pPr>
              <w:pStyle w:val="27"/>
            </w:pPr>
            <w:r>
              <w:rPr>
                <w:rFonts w:hint="eastAsia"/>
                <w:b/>
                <w:bCs/>
              </w:rPr>
              <w:t>编号</w:t>
            </w:r>
          </w:p>
        </w:tc>
        <w:tc>
          <w:p w14:paraId="2B49180D">
            <w:pPr>
              <w:pStyle w:val="27"/>
            </w:pPr>
            <w:r>
              <w:rPr>
                <w:rFonts w:hint="eastAsia"/>
                <w:b/>
                <w:bCs/>
              </w:rPr>
              <w:t>功能菜单</w:t>
            </w:r>
          </w:p>
        </w:tc>
        <w:tc>
          <w:p w14:paraId="313D6CF6">
            <w:pPr>
              <w:pStyle w:val="27"/>
            </w:pPr>
            <w:r>
              <w:rPr>
                <w:rFonts w:hint="eastAsia"/>
                <w:b/>
                <w:bCs/>
              </w:rPr>
              <w:t>功能说明</w:t>
            </w:r>
          </w:p>
        </w:tc>
      </w:tr>
      <w:tr w14:paraId="34D29057">
        <w:tblPrEx>
          <w:tblCellMar>
            <w:top w:w="0" w:type="dxa"/>
            <w:left w:w="108" w:type="dxa"/>
            <w:bottom w:w="0" w:type="dxa"/>
            <w:right w:w="108" w:type="dxa"/>
          </w:tblCellMar>
        </w:tblPrEx>
        <w:tc>
          <w:p w14:paraId="5AE4EAA6">
            <w:pPr>
              <w:pStyle w:val="27"/>
            </w:pPr>
            <w:r>
              <w:t>1</w:t>
            </w:r>
          </w:p>
        </w:tc>
        <w:tc>
          <w:p w14:paraId="0041D68E">
            <w:pPr>
              <w:pStyle w:val="27"/>
            </w:pPr>
            <w:r>
              <w:rPr>
                <w:rFonts w:hint="eastAsia"/>
              </w:rPr>
              <w:t>软件费用计费-&gt;</w:t>
            </w:r>
            <w:r>
              <w:fldChar w:fldCharType="begin"/>
            </w:r>
            <w:r>
              <w:instrText xml:space="preserve"> HYPERLINK "./return.md#_6-软件费用计算" \h </w:instrText>
            </w:r>
            <w:r>
              <w:fldChar w:fldCharType="separate"/>
            </w:r>
            <w:r>
              <w:rPr>
                <w:rStyle w:val="23"/>
                <w:rFonts w:hint="eastAsia"/>
              </w:rPr>
              <w:t>软件费用计算</w:t>
            </w:r>
            <w:r>
              <w:rPr>
                <w:rStyle w:val="23"/>
                <w:rFonts w:hint="eastAsia"/>
              </w:rPr>
              <w:fldChar w:fldCharType="end"/>
            </w:r>
          </w:p>
        </w:tc>
        <w:tc>
          <w:p w14:paraId="71344D32">
            <w:pPr>
              <w:pStyle w:val="27"/>
            </w:pPr>
            <w:r>
              <w:rPr>
                <w:rFonts w:hint="eastAsia"/>
              </w:rPr>
              <w:t>仅计算软件费用</w:t>
            </w:r>
          </w:p>
        </w:tc>
      </w:tr>
      <w:tr w14:paraId="2B64F13C">
        <w:tblPrEx>
          <w:tblCellMar>
            <w:top w:w="0" w:type="dxa"/>
            <w:left w:w="108" w:type="dxa"/>
            <w:bottom w:w="0" w:type="dxa"/>
            <w:right w:w="108" w:type="dxa"/>
          </w:tblCellMar>
        </w:tblPrEx>
        <w:tc>
          <w:p w14:paraId="0680E5EB">
            <w:pPr>
              <w:pStyle w:val="27"/>
            </w:pPr>
            <w:r>
              <w:t>2</w:t>
            </w:r>
          </w:p>
        </w:tc>
        <w:tc>
          <w:p w14:paraId="67A3D046">
            <w:pPr>
              <w:pStyle w:val="27"/>
            </w:pPr>
            <w:r>
              <w:rPr>
                <w:rFonts w:hint="eastAsia"/>
              </w:rPr>
              <w:t>居间人管理-&gt;提成计算管理-&gt;</w:t>
            </w:r>
            <w:r>
              <w:fldChar w:fldCharType="begin"/>
            </w:r>
            <w:r>
              <w:instrText xml:space="preserve"> HYPERLINK "./return.md#_1-提成计算" \h </w:instrText>
            </w:r>
            <w:r>
              <w:fldChar w:fldCharType="separate"/>
            </w:r>
            <w:r>
              <w:rPr>
                <w:rStyle w:val="23"/>
                <w:rFonts w:hint="eastAsia"/>
              </w:rPr>
              <w:t>提成计算</w:t>
            </w:r>
            <w:r>
              <w:rPr>
                <w:rStyle w:val="23"/>
                <w:rFonts w:hint="eastAsia"/>
              </w:rPr>
              <w:fldChar w:fldCharType="end"/>
            </w:r>
          </w:p>
        </w:tc>
        <w:tc>
          <w:p w14:paraId="6E116E29">
            <w:pPr>
              <w:pStyle w:val="27"/>
            </w:pPr>
            <w:r>
              <w:rPr>
                <w:rFonts w:hint="eastAsia"/>
              </w:rPr>
              <w:t>默认情况，计算除</w:t>
            </w:r>
            <w:r>
              <w:t xml:space="preserve"> </w:t>
            </w:r>
            <w:r>
              <w:rPr>
                <w:rFonts w:hint="eastAsia"/>
              </w:rPr>
              <w:t>交返基础创收</w:t>
            </w:r>
            <w:r>
              <w:t xml:space="preserve"> </w:t>
            </w:r>
            <w:r>
              <w:rPr>
                <w:rFonts w:hint="eastAsia"/>
              </w:rPr>
              <w:t>之外的所有</w:t>
            </w:r>
            <w:r>
              <w:t xml:space="preserve"> </w:t>
            </w:r>
            <w:r>
              <w:rPr>
                <w:rFonts w:hint="eastAsia"/>
              </w:rPr>
              <w:t>支出</w:t>
            </w:r>
            <w:r>
              <w:t xml:space="preserve"> </w:t>
            </w:r>
            <w:r>
              <w:rPr>
                <w:rFonts w:hint="eastAsia"/>
              </w:rPr>
              <w:t>数据；即，交返基础收入数据，需要单独发起计算，核对通过后，再点此计算；</w:t>
            </w:r>
          </w:p>
        </w:tc>
      </w:tr>
      <w:tr w14:paraId="7EC1C371">
        <w:tblPrEx>
          <w:tblCellMar>
            <w:top w:w="0" w:type="dxa"/>
            <w:left w:w="108" w:type="dxa"/>
            <w:bottom w:w="0" w:type="dxa"/>
            <w:right w:w="108" w:type="dxa"/>
          </w:tblCellMar>
        </w:tblPrEx>
        <w:tc>
          <w:p w14:paraId="1B0191A2">
            <w:pPr>
              <w:pStyle w:val="27"/>
            </w:pPr>
          </w:p>
        </w:tc>
        <w:tc>
          <w:p w14:paraId="6D0C43E7">
            <w:pPr>
              <w:pStyle w:val="27"/>
            </w:pPr>
          </w:p>
        </w:tc>
        <w:tc>
          <w:p w14:paraId="37A56E40">
            <w:pPr>
              <w:pStyle w:val="27"/>
            </w:pPr>
            <w:r>
              <w:rPr>
                <w:rFonts w:hint="eastAsia"/>
              </w:rPr>
              <w:t>部分公司，可能有做到能计算整个佣金提成模块的所有收入</w:t>
            </w:r>
          </w:p>
        </w:tc>
      </w:tr>
      <w:tr w14:paraId="327DFDFB">
        <w:tblPrEx>
          <w:tblCellMar>
            <w:top w:w="0" w:type="dxa"/>
            <w:left w:w="108" w:type="dxa"/>
            <w:bottom w:w="0" w:type="dxa"/>
            <w:right w:w="108" w:type="dxa"/>
          </w:tblCellMar>
        </w:tblPrEx>
        <w:tc>
          <w:p w14:paraId="21D5281C">
            <w:pPr>
              <w:pStyle w:val="27"/>
            </w:pPr>
          </w:p>
        </w:tc>
        <w:tc>
          <w:p w14:paraId="28AF97D6">
            <w:pPr>
              <w:pStyle w:val="27"/>
            </w:pPr>
          </w:p>
        </w:tc>
        <w:tc>
          <w:p w14:paraId="132A0219">
            <w:pPr>
              <w:pStyle w:val="27"/>
            </w:pPr>
            <w:r>
              <w:rPr>
                <w:rFonts w:hint="eastAsia"/>
              </w:rPr>
              <w:t>【费用类型】：软件计费、留存、交返、利返；</w:t>
            </w:r>
          </w:p>
        </w:tc>
      </w:tr>
      <w:tr w14:paraId="306702FE">
        <w:tblPrEx>
          <w:tblCellMar>
            <w:top w:w="0" w:type="dxa"/>
            <w:left w:w="108" w:type="dxa"/>
            <w:bottom w:w="0" w:type="dxa"/>
            <w:right w:w="108" w:type="dxa"/>
          </w:tblCellMar>
        </w:tblPrEx>
        <w:tc>
          <w:p w14:paraId="6C5A5327">
            <w:pPr>
              <w:pStyle w:val="27"/>
            </w:pPr>
          </w:p>
        </w:tc>
        <w:tc>
          <w:p w14:paraId="0B678B7B">
            <w:pPr>
              <w:pStyle w:val="27"/>
            </w:pPr>
          </w:p>
        </w:tc>
        <w:tc>
          <w:p w14:paraId="7025DE45">
            <w:pPr>
              <w:pStyle w:val="27"/>
            </w:pPr>
            <w:r>
              <w:rPr>
                <w:rFonts w:hint="eastAsia"/>
              </w:rPr>
              <w:t>【方向】：收入</w:t>
            </w:r>
          </w:p>
        </w:tc>
      </w:tr>
      <w:tr w14:paraId="3BCD12CE">
        <w:tblPrEx>
          <w:tblCellMar>
            <w:top w:w="0" w:type="dxa"/>
            <w:left w:w="108" w:type="dxa"/>
            <w:bottom w:w="0" w:type="dxa"/>
            <w:right w:w="108" w:type="dxa"/>
          </w:tblCellMar>
        </w:tblPrEx>
        <w:tc>
          <w:p w14:paraId="71D31C9B">
            <w:pPr>
              <w:pStyle w:val="27"/>
            </w:pPr>
          </w:p>
        </w:tc>
        <w:tc>
          <w:p w14:paraId="44F5E61B">
            <w:pPr>
              <w:pStyle w:val="27"/>
            </w:pPr>
          </w:p>
        </w:tc>
        <w:tc>
          <w:p w14:paraId="3A76032B">
            <w:pPr>
              <w:pStyle w:val="27"/>
            </w:pPr>
            <w:r>
              <w:rPr>
                <w:rFonts w:hint="eastAsia"/>
              </w:rPr>
              <w:t>【主体】：投资者、居间、员工</w:t>
            </w:r>
          </w:p>
        </w:tc>
      </w:tr>
      <w:tr w14:paraId="211D2BCA">
        <w:tblPrEx>
          <w:tblCellMar>
            <w:top w:w="0" w:type="dxa"/>
            <w:left w:w="108" w:type="dxa"/>
            <w:bottom w:w="0" w:type="dxa"/>
            <w:right w:w="108" w:type="dxa"/>
          </w:tblCellMar>
        </w:tblPrEx>
        <w:tc>
          <w:p w14:paraId="13A7CD5E">
            <w:pPr>
              <w:pStyle w:val="27"/>
            </w:pPr>
            <w:r>
              <w:t>3</w:t>
            </w:r>
          </w:p>
        </w:tc>
        <w:tc>
          <w:p w14:paraId="3E6AD7F2">
            <w:pPr>
              <w:pStyle w:val="27"/>
            </w:pPr>
            <w:r>
              <w:rPr>
                <w:rFonts w:hint="eastAsia"/>
              </w:rPr>
              <w:t>交易所返还管理-&gt;</w:t>
            </w:r>
            <w:r>
              <w:fldChar w:fldCharType="begin"/>
            </w:r>
            <w:r>
              <w:instrText xml:space="preserve"> HYPERLINK \l "交易所返还基础数据查询" \h </w:instrText>
            </w:r>
            <w:r>
              <w:fldChar w:fldCharType="separate"/>
            </w:r>
            <w:r>
              <w:rPr>
                <w:rStyle w:val="23"/>
                <w:rFonts w:hint="eastAsia"/>
              </w:rPr>
              <w:t>交易所返还基础数据计算</w:t>
            </w:r>
            <w:r>
              <w:rPr>
                <w:rStyle w:val="23"/>
                <w:rFonts w:hint="eastAsia"/>
              </w:rPr>
              <w:fldChar w:fldCharType="end"/>
            </w:r>
          </w:p>
        </w:tc>
        <w:tc>
          <w:p w14:paraId="06C3D451">
            <w:pPr>
              <w:pStyle w:val="27"/>
            </w:pPr>
            <w:r>
              <w:rPr>
                <w:rFonts w:hint="eastAsia"/>
              </w:rPr>
              <w:t>仅计算交易所返还的基础数据，即公司收入部分</w:t>
            </w:r>
          </w:p>
        </w:tc>
      </w:tr>
      <w:tr w14:paraId="3EE85E35">
        <w:tblPrEx>
          <w:tblCellMar>
            <w:top w:w="0" w:type="dxa"/>
            <w:left w:w="108" w:type="dxa"/>
            <w:bottom w:w="0" w:type="dxa"/>
            <w:right w:w="108" w:type="dxa"/>
          </w:tblCellMar>
        </w:tblPrEx>
        <w:tc>
          <w:p w14:paraId="0DBD28AE">
            <w:pPr>
              <w:pStyle w:val="27"/>
            </w:pPr>
            <w:r>
              <w:t>4</w:t>
            </w:r>
          </w:p>
        </w:tc>
        <w:tc>
          <w:p w14:paraId="796E5008">
            <w:pPr>
              <w:pStyle w:val="27"/>
            </w:pPr>
            <w:r>
              <w:rPr>
                <w:rFonts w:hint="eastAsia"/>
              </w:rPr>
              <w:t>交易所返还管理-&gt;</w:t>
            </w:r>
            <w:r>
              <w:fldChar w:fldCharType="begin"/>
            </w:r>
            <w:r>
              <w:instrText xml:space="preserve"> HYPERLINK \l "交易所返还提成计算" \h </w:instrText>
            </w:r>
            <w:r>
              <w:fldChar w:fldCharType="separate"/>
            </w:r>
            <w:r>
              <w:rPr>
                <w:rStyle w:val="23"/>
                <w:rFonts w:hint="eastAsia"/>
              </w:rPr>
              <w:t>交易所返还提成计算</w:t>
            </w:r>
            <w:r>
              <w:rPr>
                <w:rStyle w:val="23"/>
                <w:rFonts w:hint="eastAsia"/>
              </w:rPr>
              <w:fldChar w:fldCharType="end"/>
            </w:r>
          </w:p>
        </w:tc>
        <w:tc>
          <w:p w14:paraId="1520477E">
            <w:pPr>
              <w:pStyle w:val="27"/>
            </w:pPr>
            <w:r>
              <w:rPr>
                <w:rFonts w:hint="eastAsia"/>
              </w:rPr>
              <w:t>仅计算交易所返还的支出数据：投资者</w:t>
            </w:r>
          </w:p>
        </w:tc>
      </w:tr>
      <w:tr w14:paraId="401254A5">
        <w:tblPrEx>
          <w:tblCellMar>
            <w:top w:w="0" w:type="dxa"/>
            <w:left w:w="108" w:type="dxa"/>
            <w:bottom w:w="0" w:type="dxa"/>
            <w:right w:w="108" w:type="dxa"/>
          </w:tblCellMar>
        </w:tblPrEx>
        <w:tc>
          <w:p w14:paraId="037A4159">
            <w:pPr>
              <w:pStyle w:val="27"/>
            </w:pPr>
            <w:r>
              <w:t>5</w:t>
            </w:r>
          </w:p>
        </w:tc>
        <w:tc>
          <w:p w14:paraId="050B2658">
            <w:pPr>
              <w:pStyle w:val="27"/>
            </w:pPr>
            <w:r>
              <w:rPr>
                <w:rFonts w:hint="eastAsia"/>
              </w:rPr>
              <w:t>利息返还管理-&gt;</w:t>
            </w:r>
            <w:r>
              <w:fldChar w:fldCharType="begin"/>
            </w:r>
            <w:r>
              <w:instrText xml:space="preserve"> HYPERLINK \l "利息返还计算" \h </w:instrText>
            </w:r>
            <w:r>
              <w:fldChar w:fldCharType="separate"/>
            </w:r>
            <w:r>
              <w:rPr>
                <w:rStyle w:val="23"/>
                <w:rFonts w:hint="eastAsia"/>
              </w:rPr>
              <w:t>利息返还计算</w:t>
            </w:r>
            <w:r>
              <w:rPr>
                <w:rStyle w:val="23"/>
                <w:rFonts w:hint="eastAsia"/>
              </w:rPr>
              <w:fldChar w:fldCharType="end"/>
            </w:r>
          </w:p>
        </w:tc>
        <w:tc>
          <w:p w14:paraId="663E1F73">
            <w:pPr>
              <w:pStyle w:val="27"/>
            </w:pPr>
            <w:r>
              <w:rPr>
                <w:rFonts w:hint="eastAsia"/>
              </w:rPr>
              <w:t>仅计算利息返还的支出数据：投资者</w:t>
            </w:r>
          </w:p>
        </w:tc>
      </w:tr>
    </w:tbl>
    <w:p w14:paraId="5F166913">
      <w:pPr>
        <w:pStyle w:val="27"/>
        <w:numPr>
          <w:ilvl w:val="0"/>
          <w:numId w:val="12"/>
        </w:numPr>
      </w:pPr>
      <w:r>
        <w:rPr>
          <w:rFonts w:hint="eastAsia"/>
          <w:b/>
          <w:bCs/>
        </w:rPr>
        <w:t>Q：上述几个计算功能，有些仅支持单个日期设置，有些却支持日期范围选择，为何有这种差异？执行效果上有何区别？</w:t>
      </w:r>
    </w:p>
    <w:p w14:paraId="177251A3">
      <w:pPr>
        <w:pStyle w:val="26"/>
      </w:pPr>
      <w:r>
        <w:rPr>
          <w:rFonts w:hint="eastAsia"/>
          <w:b/>
          <w:bCs/>
        </w:rPr>
        <w:t>【A】：</w:t>
      </w:r>
    </w:p>
    <w:p w14:paraId="4D0F2AD3">
      <w:pPr>
        <w:numPr>
          <w:ilvl w:val="0"/>
          <w:numId w:val="2"/>
        </w:numPr>
      </w:pPr>
      <w:r>
        <w:rPr>
          <w:rFonts w:hint="eastAsia"/>
          <w:b/>
          <w:bCs/>
        </w:rPr>
        <w:t>【差异背景】：</w:t>
      </w:r>
      <w:r>
        <w:t xml:space="preserve"> </w:t>
      </w:r>
      <w:r>
        <w:rPr>
          <w:rFonts w:hint="eastAsia"/>
        </w:rPr>
        <w:t>计算功能设计之初，均是默认为单个日期设置；随着期货公司使用，有公司针对部分计算功能提出要求，希望能支持针对历史一段时间进行重算，这才有了现在看到的差异；</w:t>
      </w:r>
    </w:p>
    <w:p w14:paraId="7926C252">
      <w:pPr>
        <w:numPr>
          <w:ilvl w:val="0"/>
          <w:numId w:val="2"/>
        </w:numPr>
      </w:pPr>
      <w:r>
        <w:rPr>
          <w:rFonts w:hint="eastAsia"/>
          <w:b/>
          <w:bCs/>
        </w:rPr>
        <w:t>【执行效果】：</w:t>
      </w:r>
    </w:p>
    <w:p w14:paraId="62F4817A">
      <w:pPr>
        <w:numPr>
          <w:ilvl w:val="1"/>
          <w:numId w:val="2"/>
        </w:numPr>
      </w:pPr>
      <w:r>
        <w:rPr>
          <w:rFonts w:hint="eastAsia"/>
          <w:b/>
          <w:bCs/>
        </w:rPr>
        <w:t>设置单个日期：</w:t>
      </w:r>
      <w:r>
        <w:t xml:space="preserve"> </w:t>
      </w:r>
      <w:r>
        <w:rPr>
          <w:rFonts w:hint="eastAsia"/>
        </w:rPr>
        <w:t>若为当前月份，则直接重算月初到最近一个交易日盘后数据；若为历史月份，则直接重算指定月份的整月数据；</w:t>
      </w:r>
    </w:p>
    <w:p w14:paraId="76466A23">
      <w:pPr>
        <w:numPr>
          <w:ilvl w:val="1"/>
          <w:numId w:val="2"/>
        </w:numPr>
      </w:pPr>
      <w:r>
        <w:rPr>
          <w:rFonts w:hint="eastAsia"/>
          <w:b/>
          <w:bCs/>
        </w:rPr>
        <w:t>设置日期范围：</w:t>
      </w:r>
      <w:r>
        <w:t xml:space="preserve"> </w:t>
      </w:r>
      <w:r>
        <w:rPr>
          <w:rFonts w:hint="eastAsia"/>
        </w:rPr>
        <w:t>一般是针对历史一段时间，系统默认是将</w:t>
      </w:r>
      <w:r>
        <w:t xml:space="preserve"> </w:t>
      </w:r>
      <w:r>
        <w:rPr>
          <w:rFonts w:hint="eastAsia"/>
        </w:rPr>
        <w:t>开始日期的月初</w:t>
      </w:r>
      <w:r>
        <w:t xml:space="preserve"> </w:t>
      </w:r>
      <w:r>
        <w:rPr>
          <w:rFonts w:hint="eastAsia"/>
        </w:rPr>
        <w:t>到</w:t>
      </w:r>
      <w:r>
        <w:t xml:space="preserve"> </w:t>
      </w:r>
      <w:r>
        <w:rPr>
          <w:rFonts w:hint="eastAsia"/>
        </w:rPr>
        <w:t>结束日期的月末，即一或多个整月数据，全部重算；</w:t>
      </w:r>
    </w:p>
    <w:p w14:paraId="4BC97E0A">
      <w:pPr>
        <w:pStyle w:val="27"/>
        <w:numPr>
          <w:ilvl w:val="0"/>
          <w:numId w:val="13"/>
        </w:numPr>
      </w:pPr>
      <w:r>
        <w:rPr>
          <w:rFonts w:hint="eastAsia"/>
          <w:b/>
          <w:bCs/>
        </w:rPr>
        <w:t>Q：固定比例、分段定额、分段超额，有什么区别？计算规则各自是怎样的？</w:t>
      </w:r>
    </w:p>
    <w:p w14:paraId="5F512E37">
      <w:pPr>
        <w:pStyle w:val="26"/>
      </w:pPr>
      <w:r>
        <w:rPr>
          <w:rFonts w:hint="eastAsia"/>
          <w:b/>
          <w:bCs/>
        </w:rPr>
        <w:t>【A】：</w:t>
      </w:r>
      <w:r>
        <w:t xml:space="preserve"> </w:t>
      </w:r>
      <w:r>
        <w:rPr>
          <w:rFonts w:hint="eastAsia"/>
        </w:rPr>
        <w:t>以</w:t>
      </w:r>
      <w:r>
        <w:t xml:space="preserve"> </w:t>
      </w:r>
      <w:r>
        <w:rPr>
          <w:rFonts w:hint="eastAsia"/>
        </w:rPr>
        <w:t>居间对客户的留存手续费</w:t>
      </w:r>
      <w:r>
        <w:t xml:space="preserve"> </w:t>
      </w:r>
      <w:r>
        <w:rPr>
          <w:rFonts w:hint="eastAsia"/>
        </w:rPr>
        <w:t>提成来举例说明；</w:t>
      </w:r>
    </w:p>
    <w:p w14:paraId="02B51055">
      <w:pPr>
        <w:numPr>
          <w:ilvl w:val="0"/>
          <w:numId w:val="2"/>
        </w:numPr>
      </w:pPr>
      <w:r>
        <w:rPr>
          <w:rFonts w:hint="eastAsia"/>
          <w:b/>
          <w:bCs/>
        </w:rPr>
        <w:t>固定比例：</w:t>
      </w:r>
      <w:r>
        <w:t xml:space="preserve"> </w:t>
      </w:r>
      <w:r>
        <w:rPr>
          <w:rFonts w:hint="eastAsia"/>
        </w:rPr>
        <w:t>即不管客户的留存手续费金额多少，居间均是按指定的比例来进行提取；</w:t>
      </w:r>
    </w:p>
    <w:p w14:paraId="738CAEB3">
      <w:pPr>
        <w:numPr>
          <w:ilvl w:val="0"/>
          <w:numId w:val="2"/>
        </w:numPr>
      </w:pPr>
      <w:r>
        <w:rPr>
          <w:rFonts w:hint="eastAsia"/>
          <w:b/>
          <w:bCs/>
        </w:rPr>
        <w:t>分段定额：</w:t>
      </w:r>
      <w:r>
        <w:t xml:space="preserve"> </w:t>
      </w:r>
      <w:r>
        <w:rPr>
          <w:rFonts w:hint="eastAsia"/>
        </w:rPr>
        <w:t>将”分段基准”指标（不一定是</w:t>
      </w:r>
      <w:r>
        <w:t xml:space="preserve"> </w:t>
      </w:r>
      <w:r>
        <w:rPr>
          <w:rFonts w:hint="eastAsia"/>
        </w:rPr>
        <w:t>留存手续费）分成多个区间档，每个档对应不同的提取比例（一般是区间档位越高、提取的比例也越高），看客户的”分段基准”指标值落在哪个区间，那么直接按该区间对应的提取比例来计算整个</w:t>
      </w:r>
      <w:r>
        <w:t xml:space="preserve"> </w:t>
      </w:r>
      <w:r>
        <w:rPr>
          <w:rFonts w:hint="eastAsia"/>
        </w:rPr>
        <w:t>留存手续费提成；</w:t>
      </w:r>
    </w:p>
    <w:p w14:paraId="41B09341">
      <w:pPr>
        <w:numPr>
          <w:ilvl w:val="0"/>
          <w:numId w:val="2"/>
        </w:numPr>
      </w:pPr>
      <w:r>
        <w:rPr>
          <w:rFonts w:hint="eastAsia"/>
          <w:b/>
          <w:bCs/>
        </w:rPr>
        <w:t>分段超额：</w:t>
      </w:r>
      <w:r>
        <w:t xml:space="preserve"> </w:t>
      </w:r>
      <w:r>
        <w:rPr>
          <w:rFonts w:hint="eastAsia"/>
        </w:rPr>
        <w:t>将（“分段基准”必须是）留存手续费</w:t>
      </w:r>
      <w:r>
        <w:t xml:space="preserve"> </w:t>
      </w:r>
      <w:r>
        <w:rPr>
          <w:rFonts w:hint="eastAsia"/>
        </w:rPr>
        <w:t>分成多个区间档，每个档对应不同的提取比例（一般是区间档位越高、提取的比例也越高），看客户的留存手续费金额覆盖了几个区间；每个区间内的金额，按该区间对应的提取比例来计算区间提成；该客户的总提成，为各个区间提成金额的汇总；</w:t>
      </w:r>
    </w:p>
    <w:p w14:paraId="1BA94EE3">
      <w:pPr>
        <w:pStyle w:val="26"/>
      </w:pPr>
      <w:r>
        <w:rPr>
          <w:rFonts w:hint="eastAsia"/>
        </w:rPr>
        <w:t>假设，居间人A对名下客户</w:t>
      </w:r>
      <w:r>
        <w:t xml:space="preserve"> </w:t>
      </w:r>
      <w:r>
        <w:rPr>
          <w:rFonts w:hint="eastAsia"/>
          <w:b/>
          <w:bCs/>
        </w:rPr>
        <w:t>C1采用固定比例0.15，对客户C2采用分段定额方式，对客户C3采用分段超额方式</w:t>
      </w:r>
      <w:r>
        <w:rPr>
          <w:rFonts w:hint="eastAsia"/>
        </w:rPr>
        <w:t>；</w:t>
      </w:r>
    </w:p>
    <w:p w14:paraId="63042674">
      <w:pPr>
        <w:pStyle w:val="3"/>
      </w:pPr>
      <w:r>
        <w:rPr>
          <w:rFonts w:hint="eastAsia"/>
        </w:rPr>
        <w:t>其中”分段基准”均是”留存手续费”，假设C2和C3的分段区间和提取比例值一致的，如下：</w:t>
      </w:r>
    </w:p>
    <w:p w14:paraId="341AE142">
      <w:r>
        <w:pict>
          <v:rect id="_x0000_i1032" o:spt="1" style="height:1.5pt;width:0pt;" coordsize="21600,21600" o:hr="t" o:hrstd="t" o:hralign="center">
            <v:path/>
            <v:fill focussize="0,0"/>
            <v:stroke/>
            <v:imagedata o:title=""/>
            <o:lock v:ext="edit"/>
            <w10:wrap type="none"/>
            <w10:anchorlock/>
          </v:rect>
        </w:pict>
      </w:r>
    </w:p>
    <w:tbl>
      <w:tblPr>
        <w:tblStyle w:val="44"/>
        <w:tblW w:w="5000" w:type="pct"/>
        <w:tblInd w:w="0" w:type="dxa"/>
        <w:tblLayout w:type="fixed"/>
        <w:tblCellMar>
          <w:top w:w="0" w:type="dxa"/>
          <w:left w:w="108" w:type="dxa"/>
          <w:bottom w:w="0" w:type="dxa"/>
          <w:right w:w="108" w:type="dxa"/>
        </w:tblCellMar>
      </w:tblPr>
      <w:tblGrid>
        <w:gridCol w:w="4361"/>
        <w:gridCol w:w="3558"/>
      </w:tblGrid>
      <w:tr w14:paraId="54F7B7F9">
        <w:tblPrEx>
          <w:tblCellMar>
            <w:top w:w="0" w:type="dxa"/>
            <w:left w:w="108" w:type="dxa"/>
            <w:bottom w:w="0" w:type="dxa"/>
            <w:right w:w="108" w:type="dxa"/>
          </w:tblCellMar>
        </w:tblPrEx>
        <w:trPr>
          <w:tblHeader/>
        </w:trPr>
        <w:tc>
          <w:p w14:paraId="6D1C44F5">
            <w:pPr>
              <w:pStyle w:val="27"/>
            </w:pPr>
            <w:r>
              <w:rPr>
                <w:rFonts w:hint="eastAsia"/>
                <w:b/>
                <w:bCs/>
              </w:rPr>
              <w:t>分段区间</w:t>
            </w:r>
          </w:p>
        </w:tc>
        <w:tc>
          <w:p w14:paraId="0612F80B">
            <w:pPr>
              <w:pStyle w:val="27"/>
            </w:pPr>
            <w:r>
              <w:rPr>
                <w:rFonts w:hint="eastAsia"/>
                <w:b/>
                <w:bCs/>
              </w:rPr>
              <w:t>提成比例</w:t>
            </w:r>
          </w:p>
        </w:tc>
      </w:tr>
      <w:tr w14:paraId="00967EC0">
        <w:tblPrEx>
          <w:tblCellMar>
            <w:top w:w="0" w:type="dxa"/>
            <w:left w:w="108" w:type="dxa"/>
            <w:bottom w:w="0" w:type="dxa"/>
            <w:right w:w="108" w:type="dxa"/>
          </w:tblCellMar>
        </w:tblPrEx>
        <w:tc>
          <w:p w14:paraId="40762029">
            <w:pPr>
              <w:pStyle w:val="27"/>
            </w:pPr>
            <w:r>
              <w:t>[0,10000)</w:t>
            </w:r>
          </w:p>
        </w:tc>
        <w:tc>
          <w:p w14:paraId="0AD4B58F">
            <w:pPr>
              <w:pStyle w:val="27"/>
            </w:pPr>
            <w:r>
              <w:t>0</w:t>
            </w:r>
          </w:p>
        </w:tc>
      </w:tr>
      <w:tr w14:paraId="0E198207">
        <w:tblPrEx>
          <w:tblCellMar>
            <w:top w:w="0" w:type="dxa"/>
            <w:left w:w="108" w:type="dxa"/>
            <w:bottom w:w="0" w:type="dxa"/>
            <w:right w:w="108" w:type="dxa"/>
          </w:tblCellMar>
        </w:tblPrEx>
        <w:tc>
          <w:p w14:paraId="23831B18">
            <w:pPr>
              <w:pStyle w:val="27"/>
            </w:pPr>
            <w:r>
              <w:t>[10000,50000)</w:t>
            </w:r>
          </w:p>
        </w:tc>
        <w:tc>
          <w:p w14:paraId="41B54176">
            <w:pPr>
              <w:pStyle w:val="27"/>
            </w:pPr>
            <w:r>
              <w:t>0.1</w:t>
            </w:r>
          </w:p>
        </w:tc>
      </w:tr>
      <w:tr w14:paraId="754CF515">
        <w:tblPrEx>
          <w:tblCellMar>
            <w:top w:w="0" w:type="dxa"/>
            <w:left w:w="108" w:type="dxa"/>
            <w:bottom w:w="0" w:type="dxa"/>
            <w:right w:w="108" w:type="dxa"/>
          </w:tblCellMar>
        </w:tblPrEx>
        <w:tc>
          <w:p w14:paraId="7AFD0FA7">
            <w:pPr>
              <w:pStyle w:val="27"/>
            </w:pPr>
            <w:r>
              <w:t>[50000,100000)</w:t>
            </w:r>
          </w:p>
        </w:tc>
        <w:tc>
          <w:p w14:paraId="19C74683">
            <w:pPr>
              <w:pStyle w:val="27"/>
            </w:pPr>
            <w:r>
              <w:t>0.2</w:t>
            </w:r>
          </w:p>
        </w:tc>
      </w:tr>
      <w:tr w14:paraId="0537BDDD">
        <w:tblPrEx>
          <w:tblCellMar>
            <w:top w:w="0" w:type="dxa"/>
            <w:left w:w="108" w:type="dxa"/>
            <w:bottom w:w="0" w:type="dxa"/>
            <w:right w:w="108" w:type="dxa"/>
          </w:tblCellMar>
        </w:tblPrEx>
        <w:tc>
          <w:p w14:paraId="6C6CDED2">
            <w:pPr>
              <w:pStyle w:val="27"/>
            </w:pPr>
            <w:r>
              <w:t>[10000, ∞)</w:t>
            </w:r>
          </w:p>
        </w:tc>
        <w:tc>
          <w:p w14:paraId="314DAA0C">
            <w:pPr>
              <w:pStyle w:val="27"/>
            </w:pPr>
            <w:r>
              <w:t>0.3</w:t>
            </w:r>
          </w:p>
        </w:tc>
      </w:tr>
    </w:tbl>
    <w:p w14:paraId="37196C1E">
      <w:pPr>
        <w:pStyle w:val="3"/>
      </w:pPr>
      <w:r>
        <w:rPr>
          <w:rFonts w:hint="eastAsia"/>
        </w:rPr>
        <w:t>（实际区间边界值的开闭处理·包含关系，以各家生产环境为准；通常版本初始默认模式：第一个分段是上下都包含，之后分段是左开右闭。）</w:t>
      </w:r>
    </w:p>
    <w:p w14:paraId="0A48F1E4">
      <w:pPr>
        <w:pStyle w:val="3"/>
      </w:pPr>
      <w:r>
        <w:rPr>
          <w:rFonts w:hint="eastAsia"/>
        </w:rPr>
        <w:t>C1、C2、C3，各自在月度不同留存手续费金额下、不同模式下的提取算法结果大概如下：</w:t>
      </w:r>
    </w:p>
    <w:tbl>
      <w:tblPr>
        <w:tblStyle w:val="44"/>
        <w:tblW w:w="5000" w:type="pct"/>
        <w:tblInd w:w="0" w:type="dxa"/>
        <w:tblLayout w:type="fixed"/>
        <w:tblCellMar>
          <w:top w:w="0" w:type="dxa"/>
          <w:left w:w="108" w:type="dxa"/>
          <w:bottom w:w="0" w:type="dxa"/>
          <w:right w:w="108" w:type="dxa"/>
        </w:tblCellMar>
      </w:tblPr>
      <w:tblGrid>
        <w:gridCol w:w="2049"/>
        <w:gridCol w:w="1863"/>
        <w:gridCol w:w="1770"/>
        <w:gridCol w:w="2236"/>
      </w:tblGrid>
      <w:tr w14:paraId="7F3255DB">
        <w:tblPrEx>
          <w:tblCellMar>
            <w:top w:w="0" w:type="dxa"/>
            <w:left w:w="108" w:type="dxa"/>
            <w:bottom w:w="0" w:type="dxa"/>
            <w:right w:w="108" w:type="dxa"/>
          </w:tblCellMar>
        </w:tblPrEx>
        <w:trPr>
          <w:tblHeader/>
        </w:trPr>
        <w:tc>
          <w:p w14:paraId="534A08B3">
            <w:pPr>
              <w:pStyle w:val="27"/>
            </w:pPr>
            <w:r>
              <w:rPr>
                <w:rFonts w:hint="eastAsia"/>
                <w:b/>
                <w:bCs/>
              </w:rPr>
              <w:t>留存手续费（元）</w:t>
            </w:r>
          </w:p>
        </w:tc>
        <w:tc>
          <w:p w14:paraId="68FBD546">
            <w:pPr>
              <w:pStyle w:val="27"/>
            </w:pPr>
            <w:r>
              <w:rPr>
                <w:rFonts w:hint="eastAsia"/>
                <w:b/>
                <w:bCs/>
              </w:rPr>
              <w:t>C1·固定比例</w:t>
            </w:r>
          </w:p>
        </w:tc>
        <w:tc>
          <w:p w14:paraId="74682017">
            <w:pPr>
              <w:pStyle w:val="27"/>
            </w:pPr>
            <w:r>
              <w:rPr>
                <w:rFonts w:hint="eastAsia"/>
                <w:b/>
                <w:bCs/>
              </w:rPr>
              <w:t>C2·分段定额</w:t>
            </w:r>
          </w:p>
        </w:tc>
        <w:tc>
          <w:p w14:paraId="2A77DFDB">
            <w:pPr>
              <w:pStyle w:val="27"/>
            </w:pPr>
            <w:r>
              <w:rPr>
                <w:rFonts w:hint="eastAsia"/>
                <w:b/>
                <w:bCs/>
              </w:rPr>
              <w:t>C3·分段超额</w:t>
            </w:r>
          </w:p>
        </w:tc>
      </w:tr>
      <w:tr w14:paraId="7F4F8F1B">
        <w:tblPrEx>
          <w:tblCellMar>
            <w:top w:w="0" w:type="dxa"/>
            <w:left w:w="108" w:type="dxa"/>
            <w:bottom w:w="0" w:type="dxa"/>
            <w:right w:w="108" w:type="dxa"/>
          </w:tblCellMar>
        </w:tblPrEx>
        <w:tc>
          <w:p w14:paraId="451D0196">
            <w:pPr>
              <w:pStyle w:val="27"/>
            </w:pPr>
            <w:r>
              <w:t>5000</w:t>
            </w:r>
          </w:p>
        </w:tc>
        <w:tc>
          <w:p w14:paraId="3DD90AAC">
            <w:pPr>
              <w:pStyle w:val="27"/>
            </w:pPr>
            <w:r>
              <w:t>750</w:t>
            </w:r>
          </w:p>
        </w:tc>
        <w:tc>
          <w:p w14:paraId="440DB467">
            <w:pPr>
              <w:pStyle w:val="27"/>
            </w:pPr>
            <w:r>
              <w:t>0</w:t>
            </w:r>
          </w:p>
        </w:tc>
        <w:tc>
          <w:p w14:paraId="6321AB5A">
            <w:pPr>
              <w:pStyle w:val="27"/>
            </w:pPr>
            <w:r>
              <w:t>5000*0=0</w:t>
            </w:r>
          </w:p>
        </w:tc>
      </w:tr>
      <w:tr w14:paraId="7110B98F">
        <w:tblPrEx>
          <w:tblCellMar>
            <w:top w:w="0" w:type="dxa"/>
            <w:left w:w="108" w:type="dxa"/>
            <w:bottom w:w="0" w:type="dxa"/>
            <w:right w:w="108" w:type="dxa"/>
          </w:tblCellMar>
        </w:tblPrEx>
        <w:tc>
          <w:p w14:paraId="6F92BC59">
            <w:pPr>
              <w:pStyle w:val="27"/>
            </w:pPr>
            <w:r>
              <w:t>30000</w:t>
            </w:r>
          </w:p>
        </w:tc>
        <w:tc>
          <w:p w14:paraId="4520034F">
            <w:pPr>
              <w:pStyle w:val="27"/>
            </w:pPr>
            <w:r>
              <w:t>4500</w:t>
            </w:r>
          </w:p>
        </w:tc>
        <w:tc>
          <w:p w14:paraId="25B2774F">
            <w:pPr>
              <w:pStyle w:val="27"/>
            </w:pPr>
            <w:r>
              <w:t>30000*0.1=3000</w:t>
            </w:r>
          </w:p>
        </w:tc>
        <w:tc>
          <w:p w14:paraId="37D919AD">
            <w:pPr>
              <w:pStyle w:val="27"/>
            </w:pPr>
            <w:r>
              <w:t>(30000-10000)*0.1</w:t>
            </w:r>
          </w:p>
        </w:tc>
      </w:tr>
      <w:tr w14:paraId="767C12DC">
        <w:tblPrEx>
          <w:tblCellMar>
            <w:top w:w="0" w:type="dxa"/>
            <w:left w:w="108" w:type="dxa"/>
            <w:bottom w:w="0" w:type="dxa"/>
            <w:right w:w="108" w:type="dxa"/>
          </w:tblCellMar>
        </w:tblPrEx>
        <w:tc>
          <w:p w14:paraId="64A1521B">
            <w:pPr>
              <w:pStyle w:val="27"/>
            </w:pPr>
            <w:r>
              <w:t>80000</w:t>
            </w:r>
          </w:p>
        </w:tc>
        <w:tc>
          <w:p w14:paraId="39C674CC">
            <w:pPr>
              <w:pStyle w:val="27"/>
            </w:pPr>
            <w:r>
              <w:t>12000</w:t>
            </w:r>
          </w:p>
        </w:tc>
        <w:tc>
          <w:p w14:paraId="2B017A8F">
            <w:pPr>
              <w:pStyle w:val="27"/>
            </w:pPr>
            <w:r>
              <w:t>80000*0.2=16000</w:t>
            </w:r>
          </w:p>
        </w:tc>
        <w:tc>
          <w:p w14:paraId="5A5F4AC9">
            <w:pPr>
              <w:pStyle w:val="27"/>
            </w:pPr>
            <w:r>
              <w:t>(80000-50000)*0.2</w:t>
            </w:r>
          </w:p>
        </w:tc>
      </w:tr>
      <w:tr w14:paraId="0EDF9155">
        <w:tblPrEx>
          <w:tblCellMar>
            <w:top w:w="0" w:type="dxa"/>
            <w:left w:w="108" w:type="dxa"/>
            <w:bottom w:w="0" w:type="dxa"/>
            <w:right w:w="108" w:type="dxa"/>
          </w:tblCellMar>
        </w:tblPrEx>
        <w:tc>
          <w:p w14:paraId="181CBB52">
            <w:pPr>
              <w:pStyle w:val="27"/>
            </w:pPr>
            <w:r>
              <w:t>130000</w:t>
            </w:r>
          </w:p>
        </w:tc>
        <w:tc>
          <w:p w14:paraId="052F9484">
            <w:pPr>
              <w:pStyle w:val="27"/>
            </w:pPr>
            <w:r>
              <w:t>19500</w:t>
            </w:r>
          </w:p>
        </w:tc>
        <w:tc>
          <w:p w14:paraId="78206802">
            <w:pPr>
              <w:pStyle w:val="27"/>
            </w:pPr>
            <w:r>
              <w:t>130000*0.3=39000</w:t>
            </w:r>
          </w:p>
        </w:tc>
        <w:tc>
          <w:p w14:paraId="2E0B4470">
            <w:pPr>
              <w:pStyle w:val="27"/>
            </w:pPr>
            <w:r>
              <w:t>(130000-100000)*0.3</w:t>
            </w:r>
          </w:p>
        </w:tc>
      </w:tr>
    </w:tbl>
    <w:p w14:paraId="4460DB70">
      <w:pPr>
        <w:pStyle w:val="27"/>
        <w:numPr>
          <w:ilvl w:val="0"/>
          <w:numId w:val="14"/>
        </w:numPr>
      </w:pPr>
      <w:r>
        <w:rPr>
          <w:rFonts w:hint="eastAsia"/>
          <w:b/>
          <w:bCs/>
        </w:rPr>
        <w:t>Q：如果一个居间人或者员工仅享有名下客户的交返或者利返提成、不享有留存手续费提成，是否可以不用设置业绩关系信息？</w:t>
      </w:r>
    </w:p>
    <w:p w14:paraId="5330051B">
      <w:pPr>
        <w:pStyle w:val="26"/>
      </w:pPr>
      <w:r>
        <w:rPr>
          <w:rFonts w:hint="eastAsia"/>
          <w:b/>
          <w:bCs/>
        </w:rPr>
        <w:t>【A】：</w:t>
      </w:r>
      <w:r>
        <w:t xml:space="preserve"> </w:t>
      </w:r>
      <w:r>
        <w:rPr>
          <w:rFonts w:hint="eastAsia"/>
        </w:rPr>
        <w:t>不行；</w:t>
      </w:r>
    </w:p>
    <w:p w14:paraId="0ACD60D3">
      <w:pPr>
        <w:pStyle w:val="3"/>
      </w:pPr>
      <w:r>
        <w:rPr>
          <w:rFonts w:hint="eastAsia"/>
        </w:rPr>
        <w:t>居间与客户业绩关系、员工与客户业绩关系</w:t>
      </w:r>
      <w:r>
        <w:t xml:space="preserve"> </w:t>
      </w:r>
      <w:r>
        <w:rPr>
          <w:rFonts w:hint="eastAsia"/>
        </w:rPr>
        <w:t>必须设置，因为业绩关系的存在是交返和利返计算结果的依附，否则相关报表数据统计均会存在问题；</w:t>
      </w:r>
    </w:p>
    <w:p w14:paraId="3CC30B1D">
      <w:pPr>
        <w:pStyle w:val="27"/>
        <w:numPr>
          <w:ilvl w:val="0"/>
          <w:numId w:val="15"/>
        </w:numPr>
      </w:pPr>
      <w:r>
        <w:rPr>
          <w:rFonts w:hint="eastAsia"/>
          <w:b/>
          <w:bCs/>
        </w:rPr>
        <w:t>Q：同一个主体与客户的对应关系，为何不在一个界面集中设置？目前是在三个界面分别设置留存提成比例、交返提成比例和利返提成比例；</w:t>
      </w:r>
    </w:p>
    <w:p w14:paraId="67DF0765">
      <w:pPr>
        <w:pStyle w:val="26"/>
      </w:pPr>
      <w:r>
        <w:rPr>
          <w:rFonts w:hint="eastAsia"/>
          <w:b/>
          <w:bCs/>
        </w:rPr>
        <w:t>【A】：</w:t>
      </w:r>
      <w:r>
        <w:t xml:space="preserve"> </w:t>
      </w:r>
      <w:r>
        <w:rPr>
          <w:rFonts w:hint="eastAsia"/>
        </w:rPr>
        <w:t>这样的设计，会为了便于数据核对；</w:t>
      </w:r>
    </w:p>
    <w:p w14:paraId="4079CD71">
      <w:pPr>
        <w:pStyle w:val="3"/>
      </w:pPr>
      <w:r>
        <w:rPr>
          <w:rFonts w:hint="eastAsia"/>
        </w:rPr>
        <w:t>一般情况下，客户是不返留存手续费、只提取交返和利返；</w:t>
      </w:r>
    </w:p>
    <w:p w14:paraId="6056D471">
      <w:pPr>
        <w:pStyle w:val="3"/>
      </w:pPr>
      <w:r>
        <w:rPr>
          <w:rFonts w:hint="eastAsia"/>
        </w:rPr>
        <w:t>而且，有些情况下，一个主体提取同一客户的留存返、交返、利返的时间区间可能也是不完全同步的；</w:t>
      </w:r>
    </w:p>
    <w:p w14:paraId="2D70C843">
      <w:pPr>
        <w:pStyle w:val="3"/>
      </w:pPr>
      <w:r>
        <w:rPr>
          <w:rFonts w:hint="eastAsia"/>
        </w:rPr>
        <w:t>另外，有些期货公司，留存返、交返和利返，分别由不同的部门或者人来管理；</w:t>
      </w:r>
    </w:p>
    <w:p w14:paraId="4051C1B3">
      <w:pPr>
        <w:pStyle w:val="3"/>
      </w:pPr>
      <w:r>
        <w:rPr>
          <w:rFonts w:hint="eastAsia"/>
        </w:rPr>
        <w:t>综合上述各种情况，因此把交返和利返的设置分别独立出来。</w:t>
      </w:r>
    </w:p>
    <w:p w14:paraId="40BDCB12">
      <w:pPr>
        <w:pStyle w:val="3"/>
      </w:pPr>
      <w:r>
        <w:rPr>
          <w:rFonts w:hint="eastAsia"/>
        </w:rPr>
        <w:t>在实际设置的时候，假设一个居间人进来，他针对名下客户的交返和利返提取标准一致，那么可以在对应的【公式维护】界面为该居间人增加一条不指向任何特定客户的兜底公式即可，那么新增的居间客户业绩关系，系统会自动为居间人计算对应该客户的交返或利返。</w:t>
      </w:r>
    </w:p>
    <w:p w14:paraId="1083578C">
      <w:pPr>
        <w:pStyle w:val="27"/>
        <w:numPr>
          <w:ilvl w:val="0"/>
          <w:numId w:val="16"/>
        </w:numPr>
      </w:pPr>
      <w:r>
        <w:rPr>
          <w:rFonts w:hint="eastAsia"/>
          <w:b/>
          <w:bCs/>
        </w:rPr>
        <w:t>Q：系统是否计算各交易所做市商客户的减收数据？</w:t>
      </w:r>
    </w:p>
    <w:p w14:paraId="57D65390">
      <w:pPr>
        <w:pStyle w:val="26"/>
      </w:pPr>
      <w:r>
        <w:rPr>
          <w:rFonts w:hint="eastAsia"/>
          <w:b/>
          <w:bCs/>
        </w:rPr>
        <w:t>【A】：</w:t>
      </w:r>
      <w:r>
        <w:t xml:space="preserve"> </w:t>
      </w:r>
      <w:r>
        <w:rPr>
          <w:rFonts w:hint="eastAsia"/>
        </w:rPr>
        <w:t>系统核心处理在交返数据时，仅是根据各个交易所的减收规则，针对做市商客户做相应的剔除处理，但输出的结果中不会体现做市商客户的减收数据；</w:t>
      </w:r>
    </w:p>
    <w:p w14:paraId="5CB4F9B9">
      <w:pPr>
        <w:pStyle w:val="3"/>
      </w:pPr>
      <w:r>
        <w:rPr>
          <w:rFonts w:hint="eastAsia"/>
        </w:rPr>
        <w:t>做市商客户的减收数据，交易所每日结算文件中应该是以分项资金的形式提供出来，柜台系统在导入交易所结算文件时已经做了相应处理。</w:t>
      </w:r>
    </w:p>
    <w:p w14:paraId="36AC4529">
      <w:pPr>
        <w:pStyle w:val="3"/>
      </w:pPr>
      <w:r>
        <w:rPr>
          <w:rFonts w:hint="eastAsia"/>
          <w:i/>
          <w:iCs/>
        </w:rPr>
        <w:t>不过，德索在每次交易所交返规则变更后的开发支持阶段，在佣金提成后台处理过程中，是会单独提取要剔除的做市商客户、计算其产生的减收金额影响，与来自柜台的做市商减收金额进行核对，以验证逻辑的正确性和数据的准确性。</w:t>
      </w:r>
    </w:p>
    <w:bookmarkEnd w:id="1"/>
    <w:bookmarkEnd w:id="122"/>
    <w:sectPr>
      <w:footnotePr>
        <w:numRestart w:val="eachSect"/>
      </w:footnote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egoe UI"/>
    <w:panose1 w:val="020B0004020202020204"/>
    <w:charset w:val="86"/>
    <w:family w:val="swiss"/>
    <w:pitch w:val="default"/>
    <w:sig w:usb0="00000000" w:usb1="00000000" w:usb2="00000000" w:usb3="00000000" w:csb0="0000019F" w:csb1="00000000"/>
  </w:font>
  <w:font w:name="Aptos">
    <w:altName w:val="Segoe UI"/>
    <w:panose1 w:val="00000000000000000000"/>
    <w:charset w:val="00"/>
    <w:family w:val="auto"/>
    <w:pitch w:val="default"/>
    <w:sig w:usb0="00000000" w:usb1="00000000" w:usb2="00000000" w:usb3="00000000" w:csb0="00000000" w:csb1="00000000"/>
  </w:font>
  <w:font w:name="Aptos Display">
    <w:altName w:val="Segoe UI Variable Display"/>
    <w:panose1 w:val="020B0004020202020204"/>
    <w:charset w:val="00"/>
    <w:family w:val="swiss"/>
    <w:pitch w:val="default"/>
    <w:sig w:usb0="00000000" w:usb1="00000000" w:usb2="00000000" w:usb3="00000000" w:csb0="0000019F" w:csb1="00000000"/>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auto"/>
    <w:pitch w:val="default"/>
    <w:sig w:usb0="E00006FF" w:usb1="0000FCFF" w:usb2="00000001" w:usb3="00000000" w:csb0="6000019F" w:csb1="DFD7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Segoe UI Variable Display">
    <w:panose1 w:val="00000000000000000000"/>
    <w:charset w:val="00"/>
    <w:family w:val="auto"/>
    <w:pitch w:val="default"/>
    <w:sig w:usb0="A00002FF" w:usb1="0000000B" w:usb2="00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A991"/>
    <w:multiLevelType w:val="multilevel"/>
    <w:tmpl w:val="0000A991"/>
    <w:lvl w:ilvl="0" w:tentative="0">
      <w:start w:val="0"/>
      <w:numFmt w:val="bullet"/>
      <w:lvlText w:val=""/>
      <w:lvlJc w:val="left"/>
      <w:pPr>
        <w:ind w:left="720" w:hanging="360"/>
      </w:pPr>
      <w:rPr>
        <w:rFonts w:hint="default" w:ascii="Symbol" w:hAnsi="Symbol" w:cs="Symbol"/>
      </w:rPr>
    </w:lvl>
    <w:lvl w:ilvl="1" w:tentative="0">
      <w:start w:val="0"/>
      <w:numFmt w:val="bullet"/>
      <w:lvlText w:val="o"/>
      <w:lvlJc w:val="left"/>
      <w:pPr>
        <w:ind w:left="1440" w:hanging="360"/>
      </w:pPr>
      <w:rPr>
        <w:rFonts w:hint="default" w:ascii="Courier New" w:hAnsi="Courier New" w:cs="Courier New"/>
      </w:rPr>
    </w:lvl>
    <w:lvl w:ilvl="2" w:tentative="0">
      <w:start w:val="0"/>
      <w:numFmt w:val="bullet"/>
      <w:lvlText w:val=""/>
      <w:lvlJc w:val="left"/>
      <w:pPr>
        <w:ind w:left="2160" w:hanging="360"/>
      </w:pPr>
      <w:rPr>
        <w:rFonts w:hint="default" w:ascii="Wingdings" w:hAnsi="Wingdings" w:cs="Wingdings"/>
      </w:rPr>
    </w:lvl>
    <w:lvl w:ilvl="3" w:tentative="0">
      <w:start w:val="0"/>
      <w:numFmt w:val="bullet"/>
      <w:lvlText w:val=""/>
      <w:lvlJc w:val="left"/>
      <w:pPr>
        <w:ind w:left="2880" w:hanging="360"/>
      </w:pPr>
      <w:rPr>
        <w:rFonts w:hint="default" w:ascii="Symbol" w:hAnsi="Symbol" w:cs="Symbol"/>
      </w:rPr>
    </w:lvl>
    <w:lvl w:ilvl="4" w:tentative="0">
      <w:start w:val="0"/>
      <w:numFmt w:val="bullet"/>
      <w:lvlText w:val="o"/>
      <w:lvlJc w:val="left"/>
      <w:pPr>
        <w:ind w:left="3600" w:hanging="360"/>
      </w:pPr>
      <w:rPr>
        <w:rFonts w:hint="default" w:ascii="Courier New" w:hAnsi="Courier New" w:cs="Courier New"/>
      </w:rPr>
    </w:lvl>
    <w:lvl w:ilvl="5" w:tentative="0">
      <w:start w:val="0"/>
      <w:numFmt w:val="bullet"/>
      <w:lvlText w:val=""/>
      <w:lvlJc w:val="left"/>
      <w:pPr>
        <w:ind w:left="4320" w:hanging="360"/>
      </w:pPr>
      <w:rPr>
        <w:rFonts w:hint="default" w:ascii="Wingdings" w:hAnsi="Wingdings" w:cs="Wingdings"/>
      </w:rPr>
    </w:lvl>
    <w:lvl w:ilvl="6" w:tentative="0">
      <w:start w:val="0"/>
      <w:numFmt w:val="bullet"/>
      <w:lvlText w:val=""/>
      <w:lvlJc w:val="left"/>
      <w:pPr>
        <w:ind w:left="5040" w:hanging="360"/>
      </w:pPr>
      <w:rPr>
        <w:rFonts w:hint="default" w:ascii="Symbol" w:hAnsi="Symbol" w:cs="Symbol"/>
      </w:rPr>
    </w:lvl>
    <w:lvl w:ilvl="7" w:tentative="0">
      <w:start w:val="0"/>
      <w:numFmt w:val="bullet"/>
      <w:lvlText w:val="o"/>
      <w:lvlJc w:val="left"/>
      <w:pPr>
        <w:ind w:left="5760" w:hanging="360"/>
      </w:pPr>
      <w:rPr>
        <w:rFonts w:hint="default" w:ascii="Courier New" w:hAnsi="Courier New" w:cs="Courier New"/>
      </w:rPr>
    </w:lvl>
    <w:lvl w:ilvl="8" w:tentative="0">
      <w:start w:val="0"/>
      <w:numFmt w:val="bullet"/>
      <w:lvlText w:val=""/>
      <w:lvlJc w:val="left"/>
      <w:pPr>
        <w:ind w:left="6480" w:hanging="360"/>
      </w:pPr>
      <w:rPr>
        <w:rFonts w:hint="default" w:ascii="Wingdings" w:hAnsi="Wingdings" w:cs="Wingdings"/>
      </w:rPr>
    </w:lvl>
  </w:abstractNum>
  <w:abstractNum w:abstractNumId="1">
    <w:nsid w:val="00A99411"/>
    <w:multiLevelType w:val="multilevel"/>
    <w:tmpl w:val="00A99411"/>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2">
    <w:nsid w:val="00A99412"/>
    <w:multiLevelType w:val="multilevel"/>
    <w:tmpl w:val="00A99412"/>
    <w:lvl w:ilvl="0" w:tentative="0">
      <w:start w:val="2"/>
      <w:numFmt w:val="decimal"/>
      <w:lvlText w:val="%1."/>
      <w:lvlJc w:val="left"/>
      <w:pPr>
        <w:ind w:left="720" w:hanging="360"/>
      </w:pPr>
    </w:lvl>
    <w:lvl w:ilvl="1" w:tentative="0">
      <w:start w:val="2"/>
      <w:numFmt w:val="decimal"/>
      <w:lvlText w:val="%2."/>
      <w:lvlJc w:val="left"/>
      <w:pPr>
        <w:ind w:left="1440" w:hanging="360"/>
      </w:pPr>
    </w:lvl>
    <w:lvl w:ilvl="2" w:tentative="0">
      <w:start w:val="2"/>
      <w:numFmt w:val="decimal"/>
      <w:lvlText w:val="%3."/>
      <w:lvlJc w:val="left"/>
      <w:pPr>
        <w:ind w:left="2160" w:hanging="360"/>
      </w:pPr>
    </w:lvl>
    <w:lvl w:ilvl="3" w:tentative="0">
      <w:start w:val="2"/>
      <w:numFmt w:val="decimal"/>
      <w:lvlText w:val="%4."/>
      <w:lvlJc w:val="left"/>
      <w:pPr>
        <w:ind w:left="2880" w:hanging="360"/>
      </w:pPr>
    </w:lvl>
    <w:lvl w:ilvl="4" w:tentative="0">
      <w:start w:val="2"/>
      <w:numFmt w:val="decimal"/>
      <w:lvlText w:val="%5."/>
      <w:lvlJc w:val="left"/>
      <w:pPr>
        <w:ind w:left="3600" w:hanging="360"/>
      </w:pPr>
    </w:lvl>
    <w:lvl w:ilvl="5" w:tentative="0">
      <w:start w:val="2"/>
      <w:numFmt w:val="decimal"/>
      <w:lvlText w:val="%6."/>
      <w:lvlJc w:val="left"/>
      <w:pPr>
        <w:ind w:left="4320" w:hanging="360"/>
      </w:pPr>
    </w:lvl>
    <w:lvl w:ilvl="6" w:tentative="0">
      <w:start w:val="2"/>
      <w:numFmt w:val="decimal"/>
      <w:lvlText w:val="%7."/>
      <w:lvlJc w:val="left"/>
      <w:pPr>
        <w:ind w:left="5040" w:hanging="360"/>
      </w:pPr>
    </w:lvl>
    <w:lvl w:ilvl="7" w:tentative="0">
      <w:start w:val="2"/>
      <w:numFmt w:val="decimal"/>
      <w:lvlText w:val="%8."/>
      <w:lvlJc w:val="left"/>
      <w:pPr>
        <w:ind w:left="5760" w:hanging="360"/>
      </w:pPr>
    </w:lvl>
    <w:lvl w:ilvl="8" w:tentative="0">
      <w:start w:val="2"/>
      <w:numFmt w:val="decimal"/>
      <w:lvlText w:val="%9."/>
      <w:lvlJc w:val="left"/>
      <w:pPr>
        <w:ind w:left="6480" w:hanging="360"/>
      </w:pPr>
    </w:lvl>
  </w:abstractNum>
  <w:abstractNum w:abstractNumId="3">
    <w:nsid w:val="00A99413"/>
    <w:multiLevelType w:val="multilevel"/>
    <w:tmpl w:val="00A99413"/>
    <w:lvl w:ilvl="0" w:tentative="0">
      <w:start w:val="3"/>
      <w:numFmt w:val="decimal"/>
      <w:lvlText w:val="%1."/>
      <w:lvlJc w:val="left"/>
      <w:pPr>
        <w:ind w:left="720" w:hanging="360"/>
      </w:pPr>
    </w:lvl>
    <w:lvl w:ilvl="1" w:tentative="0">
      <w:start w:val="3"/>
      <w:numFmt w:val="decimal"/>
      <w:lvlText w:val="%2."/>
      <w:lvlJc w:val="left"/>
      <w:pPr>
        <w:ind w:left="1440" w:hanging="360"/>
      </w:pPr>
    </w:lvl>
    <w:lvl w:ilvl="2" w:tentative="0">
      <w:start w:val="3"/>
      <w:numFmt w:val="decimal"/>
      <w:lvlText w:val="%3."/>
      <w:lvlJc w:val="left"/>
      <w:pPr>
        <w:ind w:left="2160" w:hanging="360"/>
      </w:pPr>
    </w:lvl>
    <w:lvl w:ilvl="3" w:tentative="0">
      <w:start w:val="3"/>
      <w:numFmt w:val="decimal"/>
      <w:lvlText w:val="%4."/>
      <w:lvlJc w:val="left"/>
      <w:pPr>
        <w:ind w:left="2880" w:hanging="360"/>
      </w:pPr>
    </w:lvl>
    <w:lvl w:ilvl="4" w:tentative="0">
      <w:start w:val="3"/>
      <w:numFmt w:val="decimal"/>
      <w:lvlText w:val="%5."/>
      <w:lvlJc w:val="left"/>
      <w:pPr>
        <w:ind w:left="3600" w:hanging="360"/>
      </w:pPr>
    </w:lvl>
    <w:lvl w:ilvl="5" w:tentative="0">
      <w:start w:val="3"/>
      <w:numFmt w:val="decimal"/>
      <w:lvlText w:val="%6."/>
      <w:lvlJc w:val="left"/>
      <w:pPr>
        <w:ind w:left="4320" w:hanging="360"/>
      </w:pPr>
    </w:lvl>
    <w:lvl w:ilvl="6" w:tentative="0">
      <w:start w:val="3"/>
      <w:numFmt w:val="decimal"/>
      <w:lvlText w:val="%7."/>
      <w:lvlJc w:val="left"/>
      <w:pPr>
        <w:ind w:left="5040" w:hanging="360"/>
      </w:pPr>
    </w:lvl>
    <w:lvl w:ilvl="7" w:tentative="0">
      <w:start w:val="3"/>
      <w:numFmt w:val="decimal"/>
      <w:lvlText w:val="%8."/>
      <w:lvlJc w:val="left"/>
      <w:pPr>
        <w:ind w:left="5760" w:hanging="360"/>
      </w:pPr>
    </w:lvl>
    <w:lvl w:ilvl="8" w:tentative="0">
      <w:start w:val="3"/>
      <w:numFmt w:val="decimal"/>
      <w:lvlText w:val="%9."/>
      <w:lvlJc w:val="left"/>
      <w:pPr>
        <w:ind w:left="6480" w:hanging="360"/>
      </w:pPr>
    </w:lvl>
  </w:abstractNum>
  <w:abstractNum w:abstractNumId="4">
    <w:nsid w:val="00A99414"/>
    <w:multiLevelType w:val="multilevel"/>
    <w:tmpl w:val="00A99414"/>
    <w:lvl w:ilvl="0" w:tentative="0">
      <w:start w:val="4"/>
      <w:numFmt w:val="decimal"/>
      <w:lvlText w:val="%1."/>
      <w:lvlJc w:val="left"/>
      <w:pPr>
        <w:ind w:left="720" w:hanging="360"/>
      </w:pPr>
    </w:lvl>
    <w:lvl w:ilvl="1" w:tentative="0">
      <w:start w:val="4"/>
      <w:numFmt w:val="decimal"/>
      <w:lvlText w:val="%2."/>
      <w:lvlJc w:val="left"/>
      <w:pPr>
        <w:ind w:left="1440" w:hanging="360"/>
      </w:pPr>
    </w:lvl>
    <w:lvl w:ilvl="2" w:tentative="0">
      <w:start w:val="4"/>
      <w:numFmt w:val="decimal"/>
      <w:lvlText w:val="%3."/>
      <w:lvlJc w:val="left"/>
      <w:pPr>
        <w:ind w:left="2160" w:hanging="360"/>
      </w:pPr>
    </w:lvl>
    <w:lvl w:ilvl="3" w:tentative="0">
      <w:start w:val="4"/>
      <w:numFmt w:val="decimal"/>
      <w:lvlText w:val="%4."/>
      <w:lvlJc w:val="left"/>
      <w:pPr>
        <w:ind w:left="2880" w:hanging="360"/>
      </w:pPr>
    </w:lvl>
    <w:lvl w:ilvl="4" w:tentative="0">
      <w:start w:val="4"/>
      <w:numFmt w:val="decimal"/>
      <w:lvlText w:val="%5."/>
      <w:lvlJc w:val="left"/>
      <w:pPr>
        <w:ind w:left="3600" w:hanging="360"/>
      </w:pPr>
    </w:lvl>
    <w:lvl w:ilvl="5" w:tentative="0">
      <w:start w:val="4"/>
      <w:numFmt w:val="decimal"/>
      <w:lvlText w:val="%6."/>
      <w:lvlJc w:val="left"/>
      <w:pPr>
        <w:ind w:left="4320" w:hanging="360"/>
      </w:pPr>
    </w:lvl>
    <w:lvl w:ilvl="6" w:tentative="0">
      <w:start w:val="4"/>
      <w:numFmt w:val="decimal"/>
      <w:lvlText w:val="%7."/>
      <w:lvlJc w:val="left"/>
      <w:pPr>
        <w:ind w:left="5040" w:hanging="360"/>
      </w:pPr>
    </w:lvl>
    <w:lvl w:ilvl="7" w:tentative="0">
      <w:start w:val="4"/>
      <w:numFmt w:val="decimal"/>
      <w:lvlText w:val="%8."/>
      <w:lvlJc w:val="left"/>
      <w:pPr>
        <w:ind w:left="5760" w:hanging="360"/>
      </w:pPr>
    </w:lvl>
    <w:lvl w:ilvl="8" w:tentative="0">
      <w:start w:val="4"/>
      <w:numFmt w:val="decimal"/>
      <w:lvlText w:val="%9."/>
      <w:lvlJc w:val="left"/>
      <w:pPr>
        <w:ind w:left="6480" w:hanging="360"/>
      </w:pPr>
    </w:lvl>
  </w:abstractNum>
  <w:abstractNum w:abstractNumId="5">
    <w:nsid w:val="00A99415"/>
    <w:multiLevelType w:val="multilevel"/>
    <w:tmpl w:val="00A99415"/>
    <w:lvl w:ilvl="0" w:tentative="0">
      <w:start w:val="5"/>
      <w:numFmt w:val="decimal"/>
      <w:lvlText w:val="%1."/>
      <w:lvlJc w:val="left"/>
      <w:pPr>
        <w:ind w:left="720" w:hanging="360"/>
      </w:pPr>
    </w:lvl>
    <w:lvl w:ilvl="1" w:tentative="0">
      <w:start w:val="5"/>
      <w:numFmt w:val="decimal"/>
      <w:lvlText w:val="%2."/>
      <w:lvlJc w:val="left"/>
      <w:pPr>
        <w:ind w:left="1440" w:hanging="360"/>
      </w:pPr>
    </w:lvl>
    <w:lvl w:ilvl="2" w:tentative="0">
      <w:start w:val="5"/>
      <w:numFmt w:val="decimal"/>
      <w:lvlText w:val="%3."/>
      <w:lvlJc w:val="left"/>
      <w:pPr>
        <w:ind w:left="2160" w:hanging="360"/>
      </w:pPr>
    </w:lvl>
    <w:lvl w:ilvl="3" w:tentative="0">
      <w:start w:val="5"/>
      <w:numFmt w:val="decimal"/>
      <w:lvlText w:val="%4."/>
      <w:lvlJc w:val="left"/>
      <w:pPr>
        <w:ind w:left="2880" w:hanging="360"/>
      </w:pPr>
    </w:lvl>
    <w:lvl w:ilvl="4" w:tentative="0">
      <w:start w:val="5"/>
      <w:numFmt w:val="decimal"/>
      <w:lvlText w:val="%5."/>
      <w:lvlJc w:val="left"/>
      <w:pPr>
        <w:ind w:left="3600" w:hanging="360"/>
      </w:pPr>
    </w:lvl>
    <w:lvl w:ilvl="5" w:tentative="0">
      <w:start w:val="5"/>
      <w:numFmt w:val="decimal"/>
      <w:lvlText w:val="%6."/>
      <w:lvlJc w:val="left"/>
      <w:pPr>
        <w:ind w:left="4320" w:hanging="360"/>
      </w:pPr>
    </w:lvl>
    <w:lvl w:ilvl="6" w:tentative="0">
      <w:start w:val="5"/>
      <w:numFmt w:val="decimal"/>
      <w:lvlText w:val="%7."/>
      <w:lvlJc w:val="left"/>
      <w:pPr>
        <w:ind w:left="5040" w:hanging="360"/>
      </w:pPr>
    </w:lvl>
    <w:lvl w:ilvl="7" w:tentative="0">
      <w:start w:val="5"/>
      <w:numFmt w:val="decimal"/>
      <w:lvlText w:val="%8."/>
      <w:lvlJc w:val="left"/>
      <w:pPr>
        <w:ind w:left="5760" w:hanging="360"/>
      </w:pPr>
    </w:lvl>
    <w:lvl w:ilvl="8" w:tentative="0">
      <w:start w:val="5"/>
      <w:numFmt w:val="decimal"/>
      <w:lvlText w:val="%9."/>
      <w:lvlJc w:val="left"/>
      <w:pPr>
        <w:ind w:left="6480" w:hanging="360"/>
      </w:pPr>
    </w:lvl>
  </w:abstractNum>
  <w:abstractNum w:abstractNumId="6">
    <w:nsid w:val="00A99416"/>
    <w:multiLevelType w:val="multilevel"/>
    <w:tmpl w:val="00A99416"/>
    <w:lvl w:ilvl="0" w:tentative="0">
      <w:start w:val="6"/>
      <w:numFmt w:val="decimal"/>
      <w:lvlText w:val="%1."/>
      <w:lvlJc w:val="left"/>
      <w:pPr>
        <w:ind w:left="720" w:hanging="360"/>
      </w:pPr>
    </w:lvl>
    <w:lvl w:ilvl="1" w:tentative="0">
      <w:start w:val="6"/>
      <w:numFmt w:val="decimal"/>
      <w:lvlText w:val="%2."/>
      <w:lvlJc w:val="left"/>
      <w:pPr>
        <w:ind w:left="1440" w:hanging="360"/>
      </w:pPr>
    </w:lvl>
    <w:lvl w:ilvl="2" w:tentative="0">
      <w:start w:val="6"/>
      <w:numFmt w:val="decimal"/>
      <w:lvlText w:val="%3."/>
      <w:lvlJc w:val="left"/>
      <w:pPr>
        <w:ind w:left="2160" w:hanging="360"/>
      </w:pPr>
    </w:lvl>
    <w:lvl w:ilvl="3" w:tentative="0">
      <w:start w:val="6"/>
      <w:numFmt w:val="decimal"/>
      <w:lvlText w:val="%4."/>
      <w:lvlJc w:val="left"/>
      <w:pPr>
        <w:ind w:left="2880" w:hanging="360"/>
      </w:pPr>
    </w:lvl>
    <w:lvl w:ilvl="4" w:tentative="0">
      <w:start w:val="6"/>
      <w:numFmt w:val="decimal"/>
      <w:lvlText w:val="%5."/>
      <w:lvlJc w:val="left"/>
      <w:pPr>
        <w:ind w:left="3600" w:hanging="360"/>
      </w:pPr>
    </w:lvl>
    <w:lvl w:ilvl="5" w:tentative="0">
      <w:start w:val="6"/>
      <w:numFmt w:val="decimal"/>
      <w:lvlText w:val="%6."/>
      <w:lvlJc w:val="left"/>
      <w:pPr>
        <w:ind w:left="4320" w:hanging="360"/>
      </w:pPr>
    </w:lvl>
    <w:lvl w:ilvl="6" w:tentative="0">
      <w:start w:val="6"/>
      <w:numFmt w:val="decimal"/>
      <w:lvlText w:val="%7."/>
      <w:lvlJc w:val="left"/>
      <w:pPr>
        <w:ind w:left="5040" w:hanging="360"/>
      </w:pPr>
    </w:lvl>
    <w:lvl w:ilvl="7" w:tentative="0">
      <w:start w:val="6"/>
      <w:numFmt w:val="decimal"/>
      <w:lvlText w:val="%8."/>
      <w:lvlJc w:val="left"/>
      <w:pPr>
        <w:ind w:left="5760" w:hanging="360"/>
      </w:pPr>
    </w:lvl>
    <w:lvl w:ilvl="8" w:tentative="0">
      <w:start w:val="6"/>
      <w:numFmt w:val="decimal"/>
      <w:lvlText w:val="%9."/>
      <w:lvlJc w:val="left"/>
      <w:pPr>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
    <w:abstractNumId w:val="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
    <w:abstractNumId w:val="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5">
    <w:abstractNumId w:val="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6">
    <w:abstractNumId w:val="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doNotTrackMoves/>
  <w:documentProtection w:enforcement="0"/>
  <w:defaultTabStop w:val="720"/>
  <w:drawingGridHorizontalSpacing w:val="360"/>
  <w:drawingGridVerticalSpacing w:val="360"/>
  <w:displayHorizontalDrawingGridEvery w:val="0"/>
  <w:displayVerticalDrawingGridEvery w:val="0"/>
  <w:characterSpacingControl w:val="doNotCompress"/>
  <w:footnotePr>
    <w:numRestart w:val="eachSect"/>
    <w:footnote w:id="0"/>
    <w:footnote w:id="1"/>
  </w:footnotePr>
  <w:compat>
    <w:useFELayout/>
    <w:splitPgBreakAndParaMark/>
    <w:compatSetting w:name="compatibilityMode" w:uri="http://schemas.microsoft.com/office/word" w:val="12"/>
  </w:compat>
  <w:rsids>
    <w:rsidRoot w:val="00000000"/>
    <w:rsid w:val="450D11F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HAnsi" w:cstheme="minorBidi"/>
      <w:sz w:val="24"/>
      <w:szCs w:val="24"/>
      <w:lang w:val="en-US" w:eastAsia="en-US" w:bidi="ar-SA"/>
    </w:rPr>
  </w:style>
  <w:style w:type="paragraph" w:styleId="2">
    <w:name w:val="heading 1"/>
    <w:basedOn w:val="1"/>
    <w:next w:val="3"/>
    <w:link w:val="34"/>
    <w:qFormat/>
    <w:uiPriority w:val="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4">
    <w:name w:val="heading 2"/>
    <w:basedOn w:val="1"/>
    <w:next w:val="3"/>
    <w:link w:val="35"/>
    <w:semiHidden/>
    <w:unhideWhenUsed/>
    <w:qFormat/>
    <w:uiPriority w:val="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5">
    <w:name w:val="heading 3"/>
    <w:basedOn w:val="1"/>
    <w:next w:val="3"/>
    <w:link w:val="36"/>
    <w:semiHidden/>
    <w:unhideWhenUsed/>
    <w:qFormat/>
    <w:uiPriority w:val="9"/>
    <w:pPr>
      <w:keepNext/>
      <w:keepLines/>
      <w:spacing w:before="160" w:after="80"/>
      <w:outlineLvl w:val="2"/>
    </w:pPr>
    <w:rPr>
      <w:rFonts w:eastAsiaTheme="majorEastAsia" w:cstheme="majorBidi"/>
      <w:color w:val="0F4761" w:themeColor="accent1" w:themeShade="BF"/>
      <w:sz w:val="28"/>
      <w:szCs w:val="28"/>
    </w:rPr>
  </w:style>
  <w:style w:type="paragraph" w:styleId="6">
    <w:name w:val="heading 4"/>
    <w:basedOn w:val="1"/>
    <w:next w:val="3"/>
    <w:link w:val="37"/>
    <w:semiHidden/>
    <w:unhideWhenUsed/>
    <w:qFormat/>
    <w:uiPriority w:val="9"/>
    <w:pPr>
      <w:keepNext/>
      <w:keepLines/>
      <w:spacing w:before="80" w:after="40"/>
      <w:outlineLvl w:val="3"/>
    </w:pPr>
    <w:rPr>
      <w:rFonts w:eastAsiaTheme="majorEastAsia" w:cstheme="majorBidi"/>
      <w:i/>
      <w:iCs/>
      <w:color w:val="0F4761" w:themeColor="accent1" w:themeShade="BF"/>
    </w:rPr>
  </w:style>
  <w:style w:type="paragraph" w:styleId="7">
    <w:name w:val="heading 5"/>
    <w:basedOn w:val="1"/>
    <w:next w:val="3"/>
    <w:link w:val="38"/>
    <w:semiHidden/>
    <w:unhideWhenUsed/>
    <w:qFormat/>
    <w:uiPriority w:val="9"/>
    <w:pPr>
      <w:keepNext/>
      <w:keepLines/>
      <w:spacing w:before="80" w:after="40"/>
      <w:outlineLvl w:val="4"/>
    </w:pPr>
    <w:rPr>
      <w:rFonts w:eastAsiaTheme="majorEastAsia" w:cstheme="majorBidi"/>
      <w:color w:val="0F4761" w:themeColor="accent1" w:themeShade="BF"/>
    </w:rPr>
  </w:style>
  <w:style w:type="paragraph" w:styleId="8">
    <w:name w:val="heading 6"/>
    <w:basedOn w:val="1"/>
    <w:next w:val="3"/>
    <w:link w:val="39"/>
    <w:semiHidden/>
    <w:unhideWhenUsed/>
    <w:qFormat/>
    <w:uiPriority w:val="9"/>
    <w:pPr>
      <w:keepNext/>
      <w:keepLines/>
      <w:spacing w:before="40" w:after="0"/>
      <w:outlineLvl w:val="5"/>
    </w:pPr>
    <w:rPr>
      <w:rFonts w:eastAsiaTheme="majorEastAsia" w:cstheme="majorBidi"/>
      <w:i/>
      <w:iCs/>
      <w:color w:val="585858" w:themeColor="text1" w:themeTint="A6"/>
    </w:rPr>
  </w:style>
  <w:style w:type="paragraph" w:styleId="9">
    <w:name w:val="heading 7"/>
    <w:basedOn w:val="1"/>
    <w:next w:val="3"/>
    <w:link w:val="40"/>
    <w:semiHidden/>
    <w:unhideWhenUsed/>
    <w:qFormat/>
    <w:uiPriority w:val="9"/>
    <w:pPr>
      <w:keepNext/>
      <w:keepLines/>
      <w:spacing w:before="40" w:after="0"/>
      <w:outlineLvl w:val="6"/>
    </w:pPr>
    <w:rPr>
      <w:rFonts w:eastAsiaTheme="majorEastAsia" w:cstheme="majorBidi"/>
      <w:color w:val="585858" w:themeColor="text1" w:themeTint="A6"/>
    </w:rPr>
  </w:style>
  <w:style w:type="paragraph" w:styleId="10">
    <w:name w:val="heading 8"/>
    <w:basedOn w:val="1"/>
    <w:next w:val="3"/>
    <w:link w:val="41"/>
    <w:semiHidden/>
    <w:unhideWhenUsed/>
    <w:qFormat/>
    <w:uiPriority w:val="9"/>
    <w:pPr>
      <w:keepNext/>
      <w:keepLines/>
      <w:spacing w:after="0"/>
      <w:outlineLvl w:val="7"/>
    </w:pPr>
    <w:rPr>
      <w:rFonts w:eastAsiaTheme="majorEastAsia" w:cstheme="majorBidi"/>
      <w:i/>
      <w:iCs/>
      <w:color w:val="262626" w:themeColor="text1" w:themeTint="D8"/>
    </w:rPr>
  </w:style>
  <w:style w:type="paragraph" w:styleId="11">
    <w:name w:val="heading 9"/>
    <w:basedOn w:val="1"/>
    <w:next w:val="3"/>
    <w:link w:val="42"/>
    <w:semiHidden/>
    <w:unhideWhenUsed/>
    <w:qFormat/>
    <w:uiPriority w:val="9"/>
    <w:pPr>
      <w:keepNext/>
      <w:keepLines/>
      <w:spacing w:after="0"/>
      <w:outlineLvl w:val="8"/>
    </w:pPr>
    <w:rPr>
      <w:rFonts w:eastAsiaTheme="majorEastAsia" w:cstheme="majorBidi"/>
      <w:color w:val="262626" w:themeColor="text1" w:themeTint="D8"/>
    </w:rPr>
  </w:style>
  <w:style w:type="character" w:default="1" w:styleId="22">
    <w:name w:val="Default Paragraph Font"/>
    <w:semiHidden/>
    <w:unhideWhenUsed/>
    <w:uiPriority w:val="0"/>
  </w:style>
  <w:style w:type="table" w:default="1" w:styleId="21">
    <w:name w:val="Normal Table"/>
    <w:uiPriority w:val="0"/>
    <w:tblPr>
      <w:tblCellMar>
        <w:top w:w="0" w:type="dxa"/>
        <w:left w:w="108" w:type="dxa"/>
        <w:bottom w:w="0" w:type="dxa"/>
        <w:right w:w="108" w:type="dxa"/>
      </w:tblCellMar>
    </w:tblPr>
  </w:style>
  <w:style w:type="paragraph" w:styleId="3">
    <w:name w:val="Body Text"/>
    <w:basedOn w:val="1"/>
    <w:link w:val="24"/>
    <w:qFormat/>
    <w:uiPriority w:val="0"/>
    <w:pPr>
      <w:spacing w:before="180" w:after="180"/>
    </w:pPr>
  </w:style>
  <w:style w:type="paragraph" w:styleId="12">
    <w:name w:val="caption"/>
    <w:basedOn w:val="1"/>
    <w:uiPriority w:val="0"/>
    <w:pPr>
      <w:spacing w:before="0" w:after="120"/>
    </w:pPr>
    <w:rPr>
      <w:i/>
    </w:rPr>
  </w:style>
  <w:style w:type="paragraph" w:styleId="13">
    <w:name w:val="Block Text"/>
    <w:basedOn w:val="3"/>
    <w:next w:val="3"/>
    <w:unhideWhenUsed/>
    <w:qFormat/>
    <w:uiPriority w:val="9"/>
    <w:pPr>
      <w:spacing w:before="100" w:after="100"/>
      <w:ind w:left="480" w:right="480" w:firstLine="0"/>
    </w:pPr>
  </w:style>
  <w:style w:type="paragraph" w:styleId="14">
    <w:name w:val="toc 3"/>
    <w:basedOn w:val="1"/>
    <w:next w:val="1"/>
    <w:uiPriority w:val="0"/>
    <w:pPr>
      <w:ind w:left="840" w:leftChars="400"/>
    </w:pPr>
  </w:style>
  <w:style w:type="paragraph" w:styleId="15">
    <w:name w:val="Date"/>
    <w:basedOn w:val="16"/>
    <w:next w:val="3"/>
    <w:qFormat/>
    <w:uiPriority w:val="0"/>
    <w:pPr>
      <w:keepNext/>
      <w:keepLines/>
    </w:pPr>
    <w:rPr>
      <w:sz w:val="24"/>
      <w:szCs w:val="24"/>
    </w:rPr>
  </w:style>
  <w:style w:type="paragraph" w:styleId="16">
    <w:name w:val="Title"/>
    <w:basedOn w:val="1"/>
    <w:next w:val="3"/>
    <w:link w:val="28"/>
    <w:qFormat/>
    <w:uiPriority w:val="10"/>
    <w:pPr>
      <w:spacing w:after="80" w:line="240" w:lineRule="auto"/>
      <w:contextualSpacing/>
      <w:jc w:val="center"/>
    </w:pPr>
    <w:rPr>
      <w:rFonts w:asciiTheme="majorHAnsi" w:hAnsiTheme="majorHAnsi" w:eastAsiaTheme="majorEastAsia" w:cstheme="majorBidi"/>
      <w:sz w:val="56"/>
      <w:szCs w:val="56"/>
    </w:rPr>
  </w:style>
  <w:style w:type="paragraph" w:styleId="17">
    <w:name w:val="toc 1"/>
    <w:basedOn w:val="1"/>
    <w:next w:val="1"/>
    <w:uiPriority w:val="0"/>
  </w:style>
  <w:style w:type="paragraph" w:styleId="18">
    <w:name w:val="Subtitle"/>
    <w:basedOn w:val="16"/>
    <w:next w:val="3"/>
    <w:link w:val="29"/>
    <w:qFormat/>
    <w:uiPriority w:val="11"/>
    <w:rPr>
      <w:rFonts w:eastAsiaTheme="majorEastAsia" w:cstheme="majorBidi"/>
      <w:spacing w:val="15"/>
      <w:sz w:val="28"/>
      <w:szCs w:val="28"/>
    </w:rPr>
  </w:style>
  <w:style w:type="paragraph" w:styleId="19">
    <w:name w:val="footnote text"/>
    <w:basedOn w:val="1"/>
    <w:unhideWhenUsed/>
    <w:qFormat/>
    <w:uiPriority w:val="9"/>
  </w:style>
  <w:style w:type="paragraph" w:styleId="20">
    <w:name w:val="toc 2"/>
    <w:basedOn w:val="1"/>
    <w:next w:val="1"/>
    <w:uiPriority w:val="0"/>
    <w:pPr>
      <w:ind w:left="420" w:leftChars="200"/>
    </w:pPr>
  </w:style>
  <w:style w:type="character" w:styleId="23">
    <w:name w:val="Hyperlink"/>
    <w:basedOn w:val="24"/>
    <w:uiPriority w:val="0"/>
    <w:rPr>
      <w:color w:val="156082" w:themeColor="accent1"/>
    </w:rPr>
  </w:style>
  <w:style w:type="character" w:customStyle="1" w:styleId="24">
    <w:name w:val="Body Text Char"/>
    <w:basedOn w:val="22"/>
    <w:link w:val="3"/>
    <w:qFormat/>
    <w:uiPriority w:val="0"/>
  </w:style>
  <w:style w:type="character" w:styleId="25">
    <w:name w:val="footnote reference"/>
    <w:basedOn w:val="24"/>
    <w:uiPriority w:val="0"/>
    <w:rPr>
      <w:vertAlign w:val="superscript"/>
    </w:rPr>
  </w:style>
  <w:style w:type="paragraph" w:customStyle="1" w:styleId="26">
    <w:name w:val="First Paragraph"/>
    <w:basedOn w:val="3"/>
    <w:next w:val="3"/>
    <w:qFormat/>
    <w:uiPriority w:val="0"/>
  </w:style>
  <w:style w:type="paragraph" w:customStyle="1" w:styleId="27">
    <w:name w:val="Compact"/>
    <w:basedOn w:val="3"/>
    <w:qFormat/>
    <w:uiPriority w:val="0"/>
    <w:pPr>
      <w:spacing w:before="36" w:after="36"/>
    </w:pPr>
  </w:style>
  <w:style w:type="character" w:customStyle="1" w:styleId="28">
    <w:name w:val="Title Char"/>
    <w:basedOn w:val="22"/>
    <w:link w:val="16"/>
    <w:uiPriority w:val="10"/>
    <w:rPr>
      <w:rFonts w:asciiTheme="majorHAnsi" w:hAnsiTheme="majorHAnsi" w:eastAsiaTheme="majorEastAsia" w:cstheme="majorBidi"/>
      <w:sz w:val="56"/>
      <w:szCs w:val="56"/>
    </w:rPr>
  </w:style>
  <w:style w:type="character" w:customStyle="1" w:styleId="29">
    <w:name w:val="Subtitle Char"/>
    <w:basedOn w:val="22"/>
    <w:link w:val="18"/>
    <w:uiPriority w:val="11"/>
    <w:rPr>
      <w:rFonts w:eastAsiaTheme="majorEastAsia" w:cstheme="majorBidi"/>
      <w:color w:val="585858" w:themeColor="text1" w:themeTint="A6"/>
      <w:spacing w:val="15"/>
      <w:sz w:val="28"/>
      <w:szCs w:val="28"/>
    </w:rPr>
  </w:style>
  <w:style w:type="paragraph" w:customStyle="1" w:styleId="30">
    <w:name w:val="Author"/>
    <w:basedOn w:val="16"/>
    <w:next w:val="3"/>
    <w:qFormat/>
    <w:uiPriority w:val="0"/>
    <w:pPr>
      <w:keepNext/>
      <w:keepLines/>
    </w:pPr>
    <w:rPr>
      <w:sz w:val="24"/>
      <w:szCs w:val="24"/>
    </w:rPr>
  </w:style>
  <w:style w:type="paragraph" w:customStyle="1" w:styleId="31">
    <w:name w:val="Abstract Title"/>
    <w:basedOn w:val="1"/>
    <w:next w:val="32"/>
    <w:qFormat/>
    <w:uiPriority w:val="0"/>
    <w:pPr>
      <w:keepNext/>
      <w:keepLines/>
      <w:spacing w:before="300" w:after="0"/>
      <w:jc w:val="center"/>
    </w:pPr>
    <w:rPr>
      <w:b/>
      <w:sz w:val="20"/>
      <w:szCs w:val="20"/>
    </w:rPr>
  </w:style>
  <w:style w:type="paragraph" w:customStyle="1" w:styleId="32">
    <w:name w:val="Abstract"/>
    <w:basedOn w:val="1"/>
    <w:next w:val="3"/>
    <w:qFormat/>
    <w:uiPriority w:val="0"/>
    <w:pPr>
      <w:keepNext/>
      <w:keepLines/>
      <w:spacing w:before="100" w:after="300"/>
    </w:pPr>
    <w:rPr>
      <w:sz w:val="20"/>
      <w:szCs w:val="20"/>
    </w:rPr>
  </w:style>
  <w:style w:type="paragraph" w:customStyle="1" w:styleId="33">
    <w:name w:val="Bibliography"/>
    <w:basedOn w:val="1"/>
    <w:qFormat/>
    <w:uiPriority w:val="0"/>
  </w:style>
  <w:style w:type="character" w:customStyle="1" w:styleId="34">
    <w:name w:val="Heading 1 Char"/>
    <w:basedOn w:val="22"/>
    <w:link w:val="2"/>
    <w:uiPriority w:val="9"/>
    <w:rPr>
      <w:rFonts w:asciiTheme="majorHAnsi" w:hAnsiTheme="majorHAnsi" w:eastAsiaTheme="majorEastAsia" w:cstheme="majorBidi"/>
      <w:color w:val="0F4761" w:themeColor="accent1" w:themeShade="BF"/>
      <w:sz w:val="40"/>
      <w:szCs w:val="40"/>
    </w:rPr>
  </w:style>
  <w:style w:type="character" w:customStyle="1" w:styleId="35">
    <w:name w:val="Heading 2 Char"/>
    <w:basedOn w:val="22"/>
    <w:link w:val="4"/>
    <w:semiHidden/>
    <w:uiPriority w:val="9"/>
    <w:rPr>
      <w:rFonts w:asciiTheme="majorHAnsi" w:hAnsiTheme="majorHAnsi" w:eastAsiaTheme="majorEastAsia" w:cstheme="majorBidi"/>
      <w:color w:val="0F4761" w:themeColor="accent1" w:themeShade="BF"/>
      <w:sz w:val="32"/>
      <w:szCs w:val="32"/>
    </w:rPr>
  </w:style>
  <w:style w:type="character" w:customStyle="1" w:styleId="36">
    <w:name w:val="Heading 3 Char"/>
    <w:basedOn w:val="22"/>
    <w:link w:val="5"/>
    <w:semiHidden/>
    <w:uiPriority w:val="9"/>
    <w:rPr>
      <w:rFonts w:eastAsiaTheme="majorEastAsia" w:cstheme="majorBidi"/>
      <w:color w:val="0F4761" w:themeColor="accent1" w:themeShade="BF"/>
      <w:sz w:val="28"/>
      <w:szCs w:val="28"/>
    </w:rPr>
  </w:style>
  <w:style w:type="character" w:customStyle="1" w:styleId="37">
    <w:name w:val="Heading 4 Char"/>
    <w:basedOn w:val="22"/>
    <w:link w:val="6"/>
    <w:semiHidden/>
    <w:uiPriority w:val="9"/>
    <w:rPr>
      <w:rFonts w:eastAsiaTheme="majorEastAsia" w:cstheme="majorBidi"/>
      <w:i/>
      <w:iCs/>
      <w:color w:val="0F4761" w:themeColor="accent1" w:themeShade="BF"/>
    </w:rPr>
  </w:style>
  <w:style w:type="character" w:customStyle="1" w:styleId="38">
    <w:name w:val="Heading 5 Char"/>
    <w:basedOn w:val="22"/>
    <w:link w:val="7"/>
    <w:semiHidden/>
    <w:qFormat/>
    <w:uiPriority w:val="9"/>
    <w:rPr>
      <w:rFonts w:eastAsiaTheme="majorEastAsia" w:cstheme="majorBidi"/>
      <w:color w:val="0F4761" w:themeColor="accent1" w:themeShade="BF"/>
    </w:rPr>
  </w:style>
  <w:style w:type="character" w:customStyle="1" w:styleId="39">
    <w:name w:val="Heading 6 Char"/>
    <w:basedOn w:val="22"/>
    <w:link w:val="8"/>
    <w:semiHidden/>
    <w:uiPriority w:val="9"/>
    <w:rPr>
      <w:rFonts w:eastAsiaTheme="majorEastAsia" w:cstheme="majorBidi"/>
      <w:i/>
      <w:iCs/>
      <w:color w:val="585858" w:themeColor="text1" w:themeTint="A6"/>
    </w:rPr>
  </w:style>
  <w:style w:type="character" w:customStyle="1" w:styleId="40">
    <w:name w:val="Heading 7 Char"/>
    <w:basedOn w:val="22"/>
    <w:link w:val="9"/>
    <w:semiHidden/>
    <w:uiPriority w:val="9"/>
    <w:rPr>
      <w:rFonts w:eastAsiaTheme="majorEastAsia" w:cstheme="majorBidi"/>
      <w:color w:val="585858" w:themeColor="text1" w:themeTint="A6"/>
    </w:rPr>
  </w:style>
  <w:style w:type="character" w:customStyle="1" w:styleId="41">
    <w:name w:val="Heading 8 Char"/>
    <w:basedOn w:val="22"/>
    <w:link w:val="10"/>
    <w:semiHidden/>
    <w:uiPriority w:val="9"/>
    <w:rPr>
      <w:rFonts w:eastAsiaTheme="majorEastAsia" w:cstheme="majorBidi"/>
      <w:i/>
      <w:iCs/>
      <w:color w:val="262626" w:themeColor="text1" w:themeTint="D8"/>
    </w:rPr>
  </w:style>
  <w:style w:type="character" w:customStyle="1" w:styleId="42">
    <w:name w:val="Heading 9 Char"/>
    <w:basedOn w:val="22"/>
    <w:link w:val="11"/>
    <w:semiHidden/>
    <w:uiPriority w:val="9"/>
    <w:rPr>
      <w:rFonts w:eastAsiaTheme="majorEastAsia" w:cstheme="majorBidi"/>
      <w:color w:val="262626" w:themeColor="text1" w:themeTint="D8"/>
    </w:rPr>
  </w:style>
  <w:style w:type="paragraph" w:customStyle="1" w:styleId="43">
    <w:name w:val="Footnote Block Text"/>
    <w:basedOn w:val="19"/>
    <w:next w:val="19"/>
    <w:unhideWhenUsed/>
    <w:qFormat/>
    <w:uiPriority w:val="9"/>
    <w:pPr>
      <w:spacing w:before="100" w:after="100"/>
      <w:ind w:left="480" w:right="480" w:firstLine="0"/>
    </w:pPr>
  </w:style>
  <w:style w:type="table" w:customStyle="1" w:styleId="44">
    <w:name w:val="Table"/>
    <w:semiHidden/>
    <w:unhideWhenUsed/>
    <w:qFormat/>
    <w:uiPriority w:val="0"/>
    <w:tblPr>
      <w:tblCellMar>
        <w:top w:w="0" w:type="dxa"/>
        <w:left w:w="108" w:type="dxa"/>
        <w:bottom w:w="0" w:type="dxa"/>
        <w:right w:w="108" w:type="dxa"/>
      </w:tblCellMar>
    </w:tblPr>
    <w:tblStylePr w:type="firstRow">
      <w:tblPr/>
      <w:tcPr>
        <w:tcBorders>
          <w:bottom w:val="single" w:color="auto" w:sz="0" w:space="0"/>
        </w:tcBorders>
        <w:vAlign w:val="bottom"/>
      </w:tcPr>
    </w:tblStylePr>
  </w:style>
  <w:style w:type="paragraph" w:customStyle="1" w:styleId="45">
    <w:name w:val="Definition Term"/>
    <w:basedOn w:val="1"/>
    <w:next w:val="46"/>
    <w:uiPriority w:val="0"/>
    <w:pPr>
      <w:keepNext/>
      <w:keepLines/>
      <w:spacing w:after="0"/>
    </w:pPr>
    <w:rPr>
      <w:b/>
    </w:rPr>
  </w:style>
  <w:style w:type="paragraph" w:customStyle="1" w:styleId="46">
    <w:name w:val="Definition"/>
    <w:basedOn w:val="1"/>
    <w:uiPriority w:val="0"/>
  </w:style>
  <w:style w:type="paragraph" w:customStyle="1" w:styleId="47">
    <w:name w:val="Table Caption"/>
    <w:basedOn w:val="12"/>
    <w:qFormat/>
    <w:uiPriority w:val="0"/>
    <w:pPr>
      <w:keepNext/>
    </w:pPr>
  </w:style>
  <w:style w:type="paragraph" w:customStyle="1" w:styleId="48">
    <w:name w:val="Image Caption"/>
    <w:basedOn w:val="12"/>
    <w:uiPriority w:val="0"/>
  </w:style>
  <w:style w:type="paragraph" w:customStyle="1" w:styleId="49">
    <w:name w:val="Figure"/>
    <w:basedOn w:val="1"/>
    <w:uiPriority w:val="0"/>
  </w:style>
  <w:style w:type="paragraph" w:customStyle="1" w:styleId="50">
    <w:name w:val="Captioned Figure"/>
    <w:basedOn w:val="49"/>
    <w:uiPriority w:val="0"/>
    <w:pPr>
      <w:keepNext/>
    </w:pPr>
  </w:style>
  <w:style w:type="character" w:customStyle="1" w:styleId="51">
    <w:name w:val="Verbatim Char"/>
    <w:basedOn w:val="24"/>
    <w:link w:val="52"/>
    <w:qFormat/>
    <w:uiPriority w:val="0"/>
    <w:rPr>
      <w:rFonts w:ascii="Consolas" w:hAnsi="Consolas"/>
      <w:sz w:val="22"/>
    </w:rPr>
  </w:style>
  <w:style w:type="paragraph" w:customStyle="1" w:styleId="52">
    <w:name w:val="Source Code"/>
    <w:basedOn w:val="1"/>
    <w:link w:val="51"/>
    <w:qFormat/>
    <w:uiPriority w:val="0"/>
    <w:pPr>
      <w:wordWrap w:val="0"/>
    </w:pPr>
  </w:style>
  <w:style w:type="character" w:customStyle="1" w:styleId="53">
    <w:name w:val="Section Number"/>
    <w:basedOn w:val="24"/>
    <w:uiPriority w:val="0"/>
  </w:style>
  <w:style w:type="paragraph" w:customStyle="1" w:styleId="54">
    <w:name w:val="TOC Heading"/>
    <w:basedOn w:val="2"/>
    <w:next w:val="3"/>
    <w:unhideWhenUsed/>
    <w:qFormat/>
    <w:uiPriority w:val="39"/>
    <w:pPr>
      <w:spacing w:before="240" w:line="259" w:lineRule="auto"/>
      <w:outlineLvl w:val="9"/>
    </w:pPr>
    <w:rPr>
      <w:rFonts w:asciiTheme="majorHAnsi" w:hAnsiTheme="majorHAnsi" w:eastAsiaTheme="majorEastAsia" w:cstheme="majorBidi"/>
      <w:color w:val="0F4761" w:themeColor="accent1" w:themeShade="BF"/>
    </w:rPr>
  </w:style>
  <w:style w:type="character" w:customStyle="1" w:styleId="55">
    <w:name w:val="KeywordTok"/>
    <w:basedOn w:val="51"/>
    <w:uiPriority w:val="0"/>
    <w:rPr>
      <w:b/>
      <w:color w:val="007020"/>
    </w:rPr>
  </w:style>
  <w:style w:type="character" w:customStyle="1" w:styleId="56">
    <w:name w:val="DataTypeTok"/>
    <w:basedOn w:val="51"/>
    <w:uiPriority w:val="0"/>
    <w:rPr>
      <w:color w:val="902000"/>
    </w:rPr>
  </w:style>
  <w:style w:type="character" w:customStyle="1" w:styleId="57">
    <w:name w:val="DecValTok"/>
    <w:basedOn w:val="51"/>
    <w:uiPriority w:val="0"/>
    <w:rPr>
      <w:color w:val="40A070"/>
    </w:rPr>
  </w:style>
  <w:style w:type="character" w:customStyle="1" w:styleId="58">
    <w:name w:val="BaseNTok"/>
    <w:basedOn w:val="51"/>
    <w:uiPriority w:val="0"/>
    <w:rPr>
      <w:color w:val="40A070"/>
    </w:rPr>
  </w:style>
  <w:style w:type="character" w:customStyle="1" w:styleId="59">
    <w:name w:val="FloatTok"/>
    <w:basedOn w:val="51"/>
    <w:uiPriority w:val="0"/>
    <w:rPr>
      <w:color w:val="40A070"/>
    </w:rPr>
  </w:style>
  <w:style w:type="character" w:customStyle="1" w:styleId="60">
    <w:name w:val="ConstantTok"/>
    <w:basedOn w:val="51"/>
    <w:uiPriority w:val="0"/>
    <w:rPr>
      <w:color w:val="880000"/>
    </w:rPr>
  </w:style>
  <w:style w:type="character" w:customStyle="1" w:styleId="61">
    <w:name w:val="CharTok"/>
    <w:basedOn w:val="51"/>
    <w:qFormat/>
    <w:uiPriority w:val="0"/>
    <w:rPr>
      <w:color w:val="4070A0"/>
    </w:rPr>
  </w:style>
  <w:style w:type="character" w:customStyle="1" w:styleId="62">
    <w:name w:val="SpecialCharTok"/>
    <w:basedOn w:val="51"/>
    <w:uiPriority w:val="0"/>
    <w:rPr>
      <w:color w:val="4070A0"/>
    </w:rPr>
  </w:style>
  <w:style w:type="character" w:customStyle="1" w:styleId="63">
    <w:name w:val="StringTok"/>
    <w:basedOn w:val="51"/>
    <w:uiPriority w:val="0"/>
    <w:rPr>
      <w:color w:val="4070A0"/>
    </w:rPr>
  </w:style>
  <w:style w:type="character" w:customStyle="1" w:styleId="64">
    <w:name w:val="VerbatimStringTok"/>
    <w:basedOn w:val="51"/>
    <w:qFormat/>
    <w:uiPriority w:val="0"/>
    <w:rPr>
      <w:color w:val="4070A0"/>
    </w:rPr>
  </w:style>
  <w:style w:type="character" w:customStyle="1" w:styleId="65">
    <w:name w:val="SpecialStringTok"/>
    <w:basedOn w:val="51"/>
    <w:uiPriority w:val="0"/>
    <w:rPr>
      <w:color w:val="BB6688"/>
    </w:rPr>
  </w:style>
  <w:style w:type="character" w:customStyle="1" w:styleId="66">
    <w:name w:val="ImportTok"/>
    <w:basedOn w:val="51"/>
    <w:uiPriority w:val="0"/>
    <w:rPr>
      <w:b/>
      <w:color w:val="008000"/>
    </w:rPr>
  </w:style>
  <w:style w:type="character" w:customStyle="1" w:styleId="67">
    <w:name w:val="CommentTok"/>
    <w:basedOn w:val="51"/>
    <w:qFormat/>
    <w:uiPriority w:val="0"/>
    <w:rPr>
      <w:i/>
      <w:color w:val="60A0B0"/>
    </w:rPr>
  </w:style>
  <w:style w:type="character" w:customStyle="1" w:styleId="68">
    <w:name w:val="DocumentationTok"/>
    <w:basedOn w:val="51"/>
    <w:uiPriority w:val="0"/>
    <w:rPr>
      <w:i/>
      <w:color w:val="BA2121"/>
    </w:rPr>
  </w:style>
  <w:style w:type="character" w:customStyle="1" w:styleId="69">
    <w:name w:val="AnnotationTok"/>
    <w:basedOn w:val="51"/>
    <w:qFormat/>
    <w:uiPriority w:val="0"/>
    <w:rPr>
      <w:b/>
      <w:i/>
      <w:color w:val="60A0B0"/>
    </w:rPr>
  </w:style>
  <w:style w:type="character" w:customStyle="1" w:styleId="70">
    <w:name w:val="CommentVarTok"/>
    <w:basedOn w:val="51"/>
    <w:uiPriority w:val="0"/>
    <w:rPr>
      <w:b/>
      <w:i/>
      <w:color w:val="60A0B0"/>
    </w:rPr>
  </w:style>
  <w:style w:type="character" w:customStyle="1" w:styleId="71">
    <w:name w:val="OtherTok"/>
    <w:basedOn w:val="51"/>
    <w:uiPriority w:val="0"/>
    <w:rPr>
      <w:color w:val="007020"/>
    </w:rPr>
  </w:style>
  <w:style w:type="character" w:customStyle="1" w:styleId="72">
    <w:name w:val="FunctionTok"/>
    <w:basedOn w:val="51"/>
    <w:uiPriority w:val="0"/>
    <w:rPr>
      <w:color w:val="06287E"/>
    </w:rPr>
  </w:style>
  <w:style w:type="character" w:customStyle="1" w:styleId="73">
    <w:name w:val="VariableTok"/>
    <w:basedOn w:val="51"/>
    <w:uiPriority w:val="0"/>
    <w:rPr>
      <w:color w:val="19177C"/>
    </w:rPr>
  </w:style>
  <w:style w:type="character" w:customStyle="1" w:styleId="74">
    <w:name w:val="ControlFlowTok"/>
    <w:basedOn w:val="51"/>
    <w:uiPriority w:val="0"/>
    <w:rPr>
      <w:b/>
      <w:color w:val="007020"/>
    </w:rPr>
  </w:style>
  <w:style w:type="character" w:customStyle="1" w:styleId="75">
    <w:name w:val="OperatorTok"/>
    <w:basedOn w:val="51"/>
    <w:qFormat/>
    <w:uiPriority w:val="0"/>
    <w:rPr>
      <w:color w:val="666666"/>
    </w:rPr>
  </w:style>
  <w:style w:type="character" w:customStyle="1" w:styleId="76">
    <w:name w:val="BuiltInTok"/>
    <w:basedOn w:val="51"/>
    <w:uiPriority w:val="0"/>
    <w:rPr>
      <w:color w:val="008000"/>
    </w:rPr>
  </w:style>
  <w:style w:type="character" w:customStyle="1" w:styleId="77">
    <w:name w:val="ExtensionTok"/>
    <w:basedOn w:val="51"/>
    <w:uiPriority w:val="0"/>
  </w:style>
  <w:style w:type="character" w:customStyle="1" w:styleId="78">
    <w:name w:val="PreprocessorTok"/>
    <w:basedOn w:val="51"/>
    <w:uiPriority w:val="0"/>
    <w:rPr>
      <w:color w:val="BC7A00"/>
    </w:rPr>
  </w:style>
  <w:style w:type="character" w:customStyle="1" w:styleId="79">
    <w:name w:val="AttributeTok"/>
    <w:basedOn w:val="51"/>
    <w:qFormat/>
    <w:uiPriority w:val="0"/>
    <w:rPr>
      <w:color w:val="7D9029"/>
    </w:rPr>
  </w:style>
  <w:style w:type="character" w:customStyle="1" w:styleId="80">
    <w:name w:val="RegionMarkerTok"/>
    <w:basedOn w:val="51"/>
    <w:uiPriority w:val="0"/>
  </w:style>
  <w:style w:type="character" w:customStyle="1" w:styleId="81">
    <w:name w:val="InformationTok"/>
    <w:basedOn w:val="51"/>
    <w:uiPriority w:val="0"/>
    <w:rPr>
      <w:b/>
      <w:i/>
      <w:color w:val="60A0B0"/>
    </w:rPr>
  </w:style>
  <w:style w:type="character" w:customStyle="1" w:styleId="82">
    <w:name w:val="WarningTok"/>
    <w:basedOn w:val="51"/>
    <w:uiPriority w:val="0"/>
    <w:rPr>
      <w:b/>
      <w:i/>
      <w:color w:val="60A0B0"/>
    </w:rPr>
  </w:style>
  <w:style w:type="character" w:customStyle="1" w:styleId="83">
    <w:name w:val="AlertTok"/>
    <w:basedOn w:val="51"/>
    <w:uiPriority w:val="0"/>
    <w:rPr>
      <w:b/>
      <w:color w:val="FF0000"/>
    </w:rPr>
  </w:style>
  <w:style w:type="character" w:customStyle="1" w:styleId="84">
    <w:name w:val="ErrorTok"/>
    <w:basedOn w:val="51"/>
    <w:uiPriority w:val="0"/>
    <w:rPr>
      <w:b/>
      <w:color w:val="FF0000"/>
    </w:rPr>
  </w:style>
  <w:style w:type="character" w:customStyle="1" w:styleId="85">
    <w:name w:val="NormalTok"/>
    <w:basedOn w:val="51"/>
    <w:uiPriority w:val="0"/>
  </w:style>
</w:styles>
</file>

<file path=word/_rels/document.xml.rels><?xml version="1.0" encoding="UTF-8" standalone="yes"?>
<Relationships xmlns="http://schemas.openxmlformats.org/package/2006/relationships"><Relationship Id="rId99" Type="http://schemas.openxmlformats.org/officeDocument/2006/relationships/image" Target="media/image95.png"/><Relationship Id="rId98" Type="http://schemas.openxmlformats.org/officeDocument/2006/relationships/image" Target="media/image94.png"/><Relationship Id="rId97" Type="http://schemas.openxmlformats.org/officeDocument/2006/relationships/image" Target="media/image93.png"/><Relationship Id="rId96" Type="http://schemas.openxmlformats.org/officeDocument/2006/relationships/image" Target="media/image92.png"/><Relationship Id="rId95" Type="http://schemas.openxmlformats.org/officeDocument/2006/relationships/image" Target="media/image91.png"/><Relationship Id="rId94" Type="http://schemas.openxmlformats.org/officeDocument/2006/relationships/image" Target="media/image90.png"/><Relationship Id="rId93" Type="http://schemas.openxmlformats.org/officeDocument/2006/relationships/image" Target="media/image89.png"/><Relationship Id="rId92" Type="http://schemas.openxmlformats.org/officeDocument/2006/relationships/image" Target="media/image88.png"/><Relationship Id="rId91" Type="http://schemas.openxmlformats.org/officeDocument/2006/relationships/image" Target="media/image87.png"/><Relationship Id="rId90" Type="http://schemas.openxmlformats.org/officeDocument/2006/relationships/image" Target="media/image86.png"/><Relationship Id="rId9" Type="http://schemas.openxmlformats.org/officeDocument/2006/relationships/image" Target="media/image5.png"/><Relationship Id="rId89" Type="http://schemas.openxmlformats.org/officeDocument/2006/relationships/image" Target="media/image85.png"/><Relationship Id="rId88" Type="http://schemas.openxmlformats.org/officeDocument/2006/relationships/image" Target="media/image84.png"/><Relationship Id="rId87" Type="http://schemas.openxmlformats.org/officeDocument/2006/relationships/image" Target="media/image83.png"/><Relationship Id="rId86" Type="http://schemas.openxmlformats.org/officeDocument/2006/relationships/image" Target="media/image82.png"/><Relationship Id="rId85" Type="http://schemas.openxmlformats.org/officeDocument/2006/relationships/image" Target="media/image81.png"/><Relationship Id="rId84" Type="http://schemas.openxmlformats.org/officeDocument/2006/relationships/image" Target="media/image80.png"/><Relationship Id="rId83" Type="http://schemas.openxmlformats.org/officeDocument/2006/relationships/image" Target="media/image79.png"/><Relationship Id="rId82" Type="http://schemas.openxmlformats.org/officeDocument/2006/relationships/image" Target="media/image78.png"/><Relationship Id="rId81" Type="http://schemas.openxmlformats.org/officeDocument/2006/relationships/image" Target="media/image77.png"/><Relationship Id="rId80" Type="http://schemas.openxmlformats.org/officeDocument/2006/relationships/image" Target="media/image76.png"/><Relationship Id="rId8" Type="http://schemas.openxmlformats.org/officeDocument/2006/relationships/image" Target="media/image4.png"/><Relationship Id="rId79" Type="http://schemas.openxmlformats.org/officeDocument/2006/relationships/image" Target="media/image75.png"/><Relationship Id="rId78" Type="http://schemas.openxmlformats.org/officeDocument/2006/relationships/image" Target="media/image74.png"/><Relationship Id="rId77" Type="http://schemas.openxmlformats.org/officeDocument/2006/relationships/image" Target="media/image73.png"/><Relationship Id="rId76" Type="http://schemas.openxmlformats.org/officeDocument/2006/relationships/image" Target="media/image72.png"/><Relationship Id="rId75" Type="http://schemas.openxmlformats.org/officeDocument/2006/relationships/image" Target="media/image71.png"/><Relationship Id="rId74" Type="http://schemas.openxmlformats.org/officeDocument/2006/relationships/image" Target="media/image70.png"/><Relationship Id="rId73" Type="http://schemas.openxmlformats.org/officeDocument/2006/relationships/image" Target="media/image69.png"/><Relationship Id="rId72" Type="http://schemas.openxmlformats.org/officeDocument/2006/relationships/image" Target="media/image68.png"/><Relationship Id="rId71" Type="http://schemas.openxmlformats.org/officeDocument/2006/relationships/image" Target="media/image67.png"/><Relationship Id="rId70" Type="http://schemas.openxmlformats.org/officeDocument/2006/relationships/image" Target="media/image66.png"/><Relationship Id="rId7" Type="http://schemas.openxmlformats.org/officeDocument/2006/relationships/image" Target="media/image3.png"/><Relationship Id="rId69" Type="http://schemas.openxmlformats.org/officeDocument/2006/relationships/image" Target="media/image65.png"/><Relationship Id="rId68" Type="http://schemas.openxmlformats.org/officeDocument/2006/relationships/image" Target="media/image64.png"/><Relationship Id="rId67" Type="http://schemas.openxmlformats.org/officeDocument/2006/relationships/image" Target="media/image63.png"/><Relationship Id="rId66" Type="http://schemas.openxmlformats.org/officeDocument/2006/relationships/image" Target="media/image62.png"/><Relationship Id="rId65" Type="http://schemas.openxmlformats.org/officeDocument/2006/relationships/image" Target="media/image61.png"/><Relationship Id="rId64" Type="http://schemas.openxmlformats.org/officeDocument/2006/relationships/image" Target="media/image60.png"/><Relationship Id="rId63" Type="http://schemas.openxmlformats.org/officeDocument/2006/relationships/image" Target="media/image59.png"/><Relationship Id="rId62" Type="http://schemas.openxmlformats.org/officeDocument/2006/relationships/image" Target="media/image58.png"/><Relationship Id="rId61" Type="http://schemas.openxmlformats.org/officeDocument/2006/relationships/image" Target="media/image57.png"/><Relationship Id="rId60" Type="http://schemas.openxmlformats.org/officeDocument/2006/relationships/image" Target="media/image56.png"/><Relationship Id="rId6" Type="http://schemas.openxmlformats.org/officeDocument/2006/relationships/image" Target="media/image2.png"/><Relationship Id="rId59" Type="http://schemas.openxmlformats.org/officeDocument/2006/relationships/image" Target="media/image55.png"/><Relationship Id="rId58" Type="http://schemas.openxmlformats.org/officeDocument/2006/relationships/image" Target="media/image54.png"/><Relationship Id="rId57" Type="http://schemas.openxmlformats.org/officeDocument/2006/relationships/image" Target="media/image53.png"/><Relationship Id="rId56" Type="http://schemas.openxmlformats.org/officeDocument/2006/relationships/image" Target="media/image52.png"/><Relationship Id="rId55" Type="http://schemas.openxmlformats.org/officeDocument/2006/relationships/image" Target="media/image51.png"/><Relationship Id="rId54" Type="http://schemas.openxmlformats.org/officeDocument/2006/relationships/image" Target="media/image50.png"/><Relationship Id="rId53" Type="http://schemas.openxmlformats.org/officeDocument/2006/relationships/image" Target="media/image49.png"/><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image" Target="media/image1.png"/><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notes" Target="footnotes.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2" Type="http://schemas.openxmlformats.org/officeDocument/2006/relationships/fontTable" Target="fontTable.xml"/><Relationship Id="rId121" Type="http://schemas.openxmlformats.org/officeDocument/2006/relationships/numbering" Target="numbering.xml"/><Relationship Id="rId120" Type="http://schemas.openxmlformats.org/officeDocument/2006/relationships/image" Target="media/image116.png"/><Relationship Id="rId12" Type="http://schemas.openxmlformats.org/officeDocument/2006/relationships/image" Target="media/image8.png"/><Relationship Id="rId119" Type="http://schemas.openxmlformats.org/officeDocument/2006/relationships/image" Target="media/image115.png"/><Relationship Id="rId118" Type="http://schemas.openxmlformats.org/officeDocument/2006/relationships/image" Target="media/image114.png"/><Relationship Id="rId117" Type="http://schemas.openxmlformats.org/officeDocument/2006/relationships/image" Target="media/image113.png"/><Relationship Id="rId116" Type="http://schemas.openxmlformats.org/officeDocument/2006/relationships/image" Target="media/image112.png"/><Relationship Id="rId115" Type="http://schemas.openxmlformats.org/officeDocument/2006/relationships/image" Target="media/image111.png"/><Relationship Id="rId114" Type="http://schemas.openxmlformats.org/officeDocument/2006/relationships/image" Target="media/image110.png"/><Relationship Id="rId113" Type="http://schemas.openxmlformats.org/officeDocument/2006/relationships/image" Target="media/image109.png"/><Relationship Id="rId112" Type="http://schemas.openxmlformats.org/officeDocument/2006/relationships/image" Target="media/image108.png"/><Relationship Id="rId111" Type="http://schemas.openxmlformats.org/officeDocument/2006/relationships/image" Target="media/image107.png"/><Relationship Id="rId110" Type="http://schemas.openxmlformats.org/officeDocument/2006/relationships/image" Target="media/image106.png"/><Relationship Id="rId11" Type="http://schemas.openxmlformats.org/officeDocument/2006/relationships/image" Target="media/image7.png"/><Relationship Id="rId109" Type="http://schemas.openxmlformats.org/officeDocument/2006/relationships/image" Target="media/image105.png"/><Relationship Id="rId108" Type="http://schemas.openxmlformats.org/officeDocument/2006/relationships/image" Target="media/image104.png"/><Relationship Id="rId107" Type="http://schemas.openxmlformats.org/officeDocument/2006/relationships/image" Target="media/image103.png"/><Relationship Id="rId106" Type="http://schemas.openxmlformats.org/officeDocument/2006/relationships/image" Target="media/image102.png"/><Relationship Id="rId105" Type="http://schemas.openxmlformats.org/officeDocument/2006/relationships/image" Target="media/image101.png"/><Relationship Id="rId104" Type="http://schemas.openxmlformats.org/officeDocument/2006/relationships/image" Target="media/image100.png"/><Relationship Id="rId103" Type="http://schemas.openxmlformats.org/officeDocument/2006/relationships/image" Target="media/image99.png"/><Relationship Id="rId102" Type="http://schemas.openxmlformats.org/officeDocument/2006/relationships/image" Target="media/image98.png"/><Relationship Id="rId101" Type="http://schemas.openxmlformats.org/officeDocument/2006/relationships/image" Target="media/image97.png"/><Relationship Id="rId100" Type="http://schemas.openxmlformats.org/officeDocument/2006/relationships/image" Target="media/image96.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71</Pages>
  <Words>83</Words>
  <Characters>475</Characters>
  <Lines>12</Lines>
  <Paragraphs>8</Paragraphs>
  <TotalTime>0</TotalTime>
  <ScaleCrop>false</ScaleCrop>
  <LinksUpToDate>false</LinksUpToDate>
  <CharactersWithSpaces>583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2026-07-08T05:58:00Z</dcterms:created>
  <dc:creator>AI自强大叔</dc:creator>
  <cp:lastModifiedBy>AI自强大叔</cp:lastModifiedBy>
  <dcterms:modified xsi:type="dcterms:W3CDTF">2026-07-08T05:59:04Z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目录</vt:lpwstr>
  </property>
  <property fmtid="{D5CDD505-2E9C-101B-9397-08002B2CF9AE}" pid="3" name="KSOProductBuildVer">
    <vt:lpwstr>2052-12.1.0.26895</vt:lpwstr>
  </property>
  <property fmtid="{D5CDD505-2E9C-101B-9397-08002B2CF9AE}" pid="4" name="ICV">
    <vt:lpwstr>FADFD195774E4D0185C9AF4E480917A2_12</vt:lpwstr>
  </property>
</Properties>
</file>