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id w:val="147480780"/>
        <w:docPartObj>
          <w:docPartGallery w:val="Table of Contents"/>
          <w:docPartUnique/>
        </w:docPartObj>
      </w:sdtPr>
      <w:sdtContent>
        <w:p w14:paraId="41D6C490">
          <w:pPr>
            <w:pStyle w:val="54"/>
          </w:pPr>
          <w:bookmarkStart w:id="33" w:name="_GoBack"/>
          <w:bookmarkEnd w:id="33"/>
          <w:r>
            <w:rPr>
              <w:rFonts w:hint="eastAsia"/>
            </w:rPr>
            <w:t>目录</w:t>
          </w:r>
        </w:p>
        <w:p w14:paraId="2B49B9AE">
          <w:pPr>
            <w:pStyle w:val="17"/>
            <w:tabs>
              <w:tab w:val="right" w:leader="dot" w:pos="8640"/>
            </w:tabs>
          </w:pPr>
          <w:r>
            <w:fldChar w:fldCharType="begin"/>
          </w:r>
          <w:r>
            <w:instrText xml:space="preserve">TOC \o "1-3" \h \z \u</w:instrText>
          </w:r>
          <w:r>
            <w:fldChar w:fldCharType="separate"/>
          </w:r>
          <w:r>
            <w:fldChar w:fldCharType="begin"/>
          </w:r>
          <w:r>
            <w:instrText xml:space="preserve"> HYPERLINK \l _Toc12742 </w:instrText>
          </w:r>
          <w:r>
            <w:fldChar w:fldCharType="separate"/>
          </w:r>
          <w:r>
            <w:rPr>
              <w:rFonts w:hint="eastAsia"/>
            </w:rPr>
            <w:t>报表中心</w:t>
          </w:r>
          <w:r>
            <w:tab/>
          </w:r>
          <w:r>
            <w:fldChar w:fldCharType="begin"/>
          </w:r>
          <w:r>
            <w:instrText xml:space="preserve"> PAGEREF _Toc12742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7F40E6AE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_Toc10651 </w:instrText>
          </w:r>
          <w:r>
            <w:fldChar w:fldCharType="separate"/>
          </w:r>
          <w:r>
            <w:rPr>
              <w:rFonts w:hint="eastAsia"/>
            </w:rPr>
            <w:t>一、系统内置报表包含：</w:t>
          </w:r>
          <w:r>
            <w:tab/>
          </w:r>
          <w:r>
            <w:fldChar w:fldCharType="begin"/>
          </w:r>
          <w:r>
            <w:instrText xml:space="preserve"> PAGEREF _Toc10651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43B3256A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_Toc734 </w:instrText>
          </w:r>
          <w:r>
            <w:fldChar w:fldCharType="separate"/>
          </w:r>
          <w:r>
            <w:rPr>
              <w:rFonts w:hint="eastAsia"/>
            </w:rPr>
            <w:t>二、功能介绍</w:t>
          </w:r>
          <w:r>
            <w:tab/>
          </w:r>
          <w:r>
            <w:fldChar w:fldCharType="begin"/>
          </w:r>
          <w:r>
            <w:instrText xml:space="preserve"> PAGEREF _Toc734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12D7A299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_Toc26943 </w:instrText>
          </w:r>
          <w:r>
            <w:fldChar w:fldCharType="separate"/>
          </w:r>
          <w:r>
            <w:rPr>
              <w:rFonts w:hint="eastAsia"/>
            </w:rPr>
            <w:t>1.营业部管理</w:t>
          </w:r>
          <w:r>
            <w:tab/>
          </w:r>
          <w:r>
            <w:fldChar w:fldCharType="begin"/>
          </w:r>
          <w:r>
            <w:instrText xml:space="preserve"> PAGEREF _Toc26943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 w14:paraId="59129272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_Toc594 </w:instrText>
          </w:r>
          <w:r>
            <w:fldChar w:fldCharType="separate"/>
          </w:r>
          <w:r>
            <w:rPr>
              <w:rFonts w:hint="eastAsia"/>
            </w:rPr>
            <w:t>2.报表分类</w:t>
          </w:r>
          <w:r>
            <w:tab/>
          </w:r>
          <w:r>
            <w:fldChar w:fldCharType="begin"/>
          </w:r>
          <w:r>
            <w:instrText xml:space="preserve"> PAGEREF _Toc594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30EFD016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_Toc10857 </w:instrText>
          </w:r>
          <w:r>
            <w:fldChar w:fldCharType="separate"/>
          </w:r>
          <w:r>
            <w:rPr>
              <w:rFonts w:hint="eastAsia"/>
            </w:rPr>
            <w:t>3.查询条件</w:t>
          </w:r>
          <w:r>
            <w:tab/>
          </w:r>
          <w:r>
            <w:fldChar w:fldCharType="begin"/>
          </w:r>
          <w:r>
            <w:instrText xml:space="preserve"> PAGEREF _Toc10857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1AA42458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_Toc4195 </w:instrText>
          </w:r>
          <w:r>
            <w:fldChar w:fldCharType="separate"/>
          </w:r>
          <w:r>
            <w:rPr>
              <w:rFonts w:hint="eastAsia"/>
            </w:rPr>
            <w:t>4.分页规则</w:t>
          </w:r>
          <w:r>
            <w:tab/>
          </w:r>
          <w:r>
            <w:fldChar w:fldCharType="begin"/>
          </w:r>
          <w:r>
            <w:instrText xml:space="preserve"> PAGEREF _Toc4195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3D4D0617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_Toc23335 </w:instrText>
          </w:r>
          <w:r>
            <w:fldChar w:fldCharType="separate"/>
          </w:r>
          <w:r>
            <w:rPr>
              <w:rFonts w:hint="eastAsia"/>
            </w:rPr>
            <w:t>5.报表操作</w:t>
          </w:r>
          <w:r>
            <w:tab/>
          </w:r>
          <w:r>
            <w:fldChar w:fldCharType="begin"/>
          </w:r>
          <w:r>
            <w:instrText xml:space="preserve"> PAGEREF _Toc23335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051153F0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_Toc32372 </w:instrText>
          </w:r>
          <w:r>
            <w:fldChar w:fldCharType="separate"/>
          </w:r>
          <w:r>
            <w:rPr>
              <w:rFonts w:hint="eastAsia"/>
            </w:rPr>
            <w:t>6.部分名词解释&amp;公式</w:t>
          </w:r>
          <w:r>
            <w:tab/>
          </w:r>
          <w:r>
            <w:fldChar w:fldCharType="begin"/>
          </w:r>
          <w:r>
            <w:instrText xml:space="preserve"> PAGEREF _Toc32372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fldChar w:fldCharType="end"/>
          </w:r>
        </w:p>
        <w:p w14:paraId="0A2C80D0">
          <w:pPr>
            <w:pStyle w:val="20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_Toc23733 </w:instrText>
          </w:r>
          <w:r>
            <w:fldChar w:fldCharType="separate"/>
          </w:r>
          <w:r>
            <w:rPr>
              <w:rFonts w:hint="eastAsia"/>
            </w:rPr>
            <w:t>三、报表使用示例</w:t>
          </w:r>
          <w:r>
            <w:tab/>
          </w:r>
          <w:r>
            <w:fldChar w:fldCharType="begin"/>
          </w:r>
          <w:r>
            <w:instrText xml:space="preserve"> PAGEREF _Toc23733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0C271987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_Toc12457 </w:instrText>
          </w:r>
          <w:r>
            <w:fldChar w:fldCharType="separate"/>
          </w:r>
          <w:r>
            <w:rPr>
              <w:rFonts w:hint="eastAsia"/>
            </w:rPr>
            <w:t>1.交易统计表表样</w:t>
          </w:r>
          <w:r>
            <w:tab/>
          </w:r>
          <w:r>
            <w:fldChar w:fldCharType="begin"/>
          </w:r>
          <w:r>
            <w:instrText xml:space="preserve"> PAGEREF _Toc12457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67E1122B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_Toc21269 </w:instrText>
          </w:r>
          <w:r>
            <w:fldChar w:fldCharType="separate"/>
          </w:r>
          <w:r>
            <w:rPr>
              <w:rFonts w:hint="eastAsia"/>
            </w:rPr>
            <w:t>2.交易统计表统计字段</w:t>
          </w:r>
          <w:r>
            <w:tab/>
          </w:r>
          <w:r>
            <w:fldChar w:fldCharType="begin"/>
          </w:r>
          <w:r>
            <w:instrText xml:space="preserve"> PAGEREF _Toc21269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 w14:paraId="28A6B738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_Toc4520 </w:instrText>
          </w:r>
          <w:r>
            <w:fldChar w:fldCharType="separate"/>
          </w:r>
          <w:r>
            <w:rPr>
              <w:rFonts w:hint="eastAsia"/>
            </w:rPr>
            <w:t>3.交易统计表筛选条件及说明</w:t>
          </w:r>
          <w:r>
            <w:tab/>
          </w:r>
          <w:r>
            <w:fldChar w:fldCharType="begin"/>
          </w:r>
          <w:r>
            <w:instrText xml:space="preserve"> PAGEREF _Toc4520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7BAFFC58">
          <w:pPr>
            <w:pStyle w:val="14"/>
            <w:tabs>
              <w:tab w:val="right" w:leader="dot" w:pos="8640"/>
            </w:tabs>
          </w:pPr>
          <w:r>
            <w:fldChar w:fldCharType="begin"/>
          </w:r>
          <w:r>
            <w:instrText xml:space="preserve"> HYPERLINK \l _Toc8793 </w:instrText>
          </w:r>
          <w:r>
            <w:fldChar w:fldCharType="separate"/>
          </w:r>
          <w:r>
            <w:rPr>
              <w:rFonts w:hint="eastAsia"/>
            </w:rPr>
            <w:t>交易统计表查询示例</w:t>
          </w:r>
          <w:r>
            <w:tab/>
          </w:r>
          <w:r>
            <w:fldChar w:fldCharType="begin"/>
          </w:r>
          <w:r>
            <w:instrText xml:space="preserve"> PAGEREF _Toc8793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fldChar w:fldCharType="end"/>
          </w:r>
        </w:p>
        <w:p w14:paraId="5B92F6C0">
          <w:r>
            <w:fldChar w:fldCharType="end"/>
          </w:r>
        </w:p>
      </w:sdtContent>
    </w:sdt>
    <w:p w14:paraId="40335F45">
      <w:pPr>
        <w:pStyle w:val="2"/>
      </w:pPr>
      <w:bookmarkStart w:id="0" w:name="_Toc12742"/>
      <w:bookmarkStart w:id="1" w:name="报表中心"/>
      <w:r>
        <w:rPr>
          <w:rFonts w:hint="eastAsia"/>
        </w:rPr>
        <w:t>报表中心</w:t>
      </w:r>
      <w:bookmarkEnd w:id="0"/>
    </w:p>
    <w:p w14:paraId="38DA637A">
      <w:pPr>
        <w:pStyle w:val="4"/>
      </w:pPr>
      <w:bookmarkStart w:id="2" w:name="_Toc10651"/>
      <w:bookmarkStart w:id="3" w:name="一系统内置报表包含"/>
      <w:r>
        <w:rPr>
          <w:rFonts w:hint="eastAsia"/>
        </w:rPr>
        <w:t>一、系统内置报表包含：</w:t>
      </w:r>
      <w:bookmarkEnd w:id="2"/>
    </w:p>
    <w:p w14:paraId="6E2B461D">
      <w:pPr>
        <w:pStyle w:val="27"/>
        <w:numPr>
          <w:ilvl w:val="0"/>
          <w:numId w:val="1"/>
        </w:numPr>
      </w:pPr>
      <w:r>
        <w:rPr>
          <w:rFonts w:hint="eastAsia"/>
        </w:rPr>
        <w:t>基础报表</w:t>
      </w:r>
    </w:p>
    <w:p w14:paraId="364AA1E3">
      <w:pPr>
        <w:pStyle w:val="27"/>
        <w:numPr>
          <w:ilvl w:val="1"/>
          <w:numId w:val="1"/>
        </w:numPr>
      </w:pPr>
      <w:r>
        <w:rPr>
          <w:rFonts w:hint="eastAsia"/>
        </w:rPr>
        <w:t>交易统计表</w:t>
      </w:r>
    </w:p>
    <w:p w14:paraId="5FAF9C7F">
      <w:pPr>
        <w:pStyle w:val="27"/>
        <w:numPr>
          <w:ilvl w:val="1"/>
          <w:numId w:val="1"/>
        </w:numPr>
      </w:pPr>
      <w:r>
        <w:rPr>
          <w:rFonts w:hint="eastAsia"/>
        </w:rPr>
        <w:t>月度交易统计表</w:t>
      </w:r>
    </w:p>
    <w:p w14:paraId="2A45E473">
      <w:pPr>
        <w:pStyle w:val="27"/>
        <w:numPr>
          <w:ilvl w:val="1"/>
          <w:numId w:val="1"/>
        </w:numPr>
      </w:pPr>
      <w:r>
        <w:rPr>
          <w:rFonts w:hint="eastAsia"/>
        </w:rPr>
        <w:t>费用顺序表</w:t>
      </w:r>
    </w:p>
    <w:p w14:paraId="55032941">
      <w:pPr>
        <w:pStyle w:val="27"/>
        <w:numPr>
          <w:ilvl w:val="1"/>
          <w:numId w:val="1"/>
        </w:numPr>
      </w:pPr>
      <w:r>
        <w:rPr>
          <w:rFonts w:hint="eastAsia"/>
        </w:rPr>
        <w:t>资金对帐表</w:t>
      </w:r>
    </w:p>
    <w:p w14:paraId="0E6C985B">
      <w:pPr>
        <w:pStyle w:val="27"/>
        <w:numPr>
          <w:ilvl w:val="1"/>
          <w:numId w:val="1"/>
        </w:numPr>
      </w:pPr>
      <w:r>
        <w:rPr>
          <w:rFonts w:hint="eastAsia"/>
        </w:rPr>
        <w:t>月度资金对帐表</w:t>
      </w:r>
    </w:p>
    <w:p w14:paraId="4BFEF6B3">
      <w:pPr>
        <w:pStyle w:val="27"/>
        <w:numPr>
          <w:ilvl w:val="1"/>
          <w:numId w:val="1"/>
        </w:numPr>
      </w:pPr>
      <w:r>
        <w:rPr>
          <w:rFonts w:hint="eastAsia"/>
        </w:rPr>
        <w:t>交易统计表-日</w:t>
      </w:r>
    </w:p>
    <w:p w14:paraId="11C43541">
      <w:pPr>
        <w:pStyle w:val="27"/>
        <w:numPr>
          <w:ilvl w:val="1"/>
          <w:numId w:val="1"/>
        </w:numPr>
      </w:pPr>
      <w:r>
        <w:rPr>
          <w:rFonts w:hint="eastAsia"/>
        </w:rPr>
        <w:t>费用顺序表-日</w:t>
      </w:r>
    </w:p>
    <w:p w14:paraId="2C83FB78">
      <w:pPr>
        <w:pStyle w:val="27"/>
        <w:numPr>
          <w:ilvl w:val="1"/>
          <w:numId w:val="1"/>
        </w:numPr>
      </w:pPr>
      <w:r>
        <w:rPr>
          <w:rFonts w:hint="eastAsia"/>
        </w:rPr>
        <w:t>资金对帐表-日</w:t>
      </w:r>
    </w:p>
    <w:p w14:paraId="0512CBCD">
      <w:pPr>
        <w:pStyle w:val="27"/>
        <w:numPr>
          <w:ilvl w:val="1"/>
          <w:numId w:val="1"/>
        </w:numPr>
      </w:pPr>
      <w:r>
        <w:rPr>
          <w:rFonts w:hint="eastAsia"/>
        </w:rPr>
        <w:t>客户排名统计</w:t>
      </w:r>
    </w:p>
    <w:p w14:paraId="7FBF3DFE">
      <w:pPr>
        <w:pStyle w:val="27"/>
        <w:numPr>
          <w:ilvl w:val="1"/>
          <w:numId w:val="1"/>
        </w:numPr>
      </w:pPr>
      <w:r>
        <w:rPr>
          <w:rFonts w:hint="eastAsia"/>
        </w:rPr>
        <w:t>客户风险状况表</w:t>
      </w:r>
    </w:p>
    <w:p w14:paraId="4517DF4C">
      <w:pPr>
        <w:pStyle w:val="27"/>
        <w:numPr>
          <w:ilvl w:val="1"/>
          <w:numId w:val="1"/>
        </w:numPr>
      </w:pPr>
      <w:r>
        <w:rPr>
          <w:rFonts w:hint="eastAsia"/>
        </w:rPr>
        <w:t>客户结算资金查询</w:t>
      </w:r>
    </w:p>
    <w:p w14:paraId="685F670C">
      <w:pPr>
        <w:pStyle w:val="13"/>
      </w:pPr>
      <w:r>
        <w:rPr>
          <w:rFonts w:hint="eastAsia"/>
          <w:b/>
          <w:bCs/>
        </w:rPr>
        <w:t>注:</w:t>
      </w:r>
    </w:p>
    <w:p w14:paraId="2DB7A7CC">
      <w:pPr>
        <w:pStyle w:val="13"/>
      </w:pPr>
      <w:r>
        <w:rPr>
          <w:rFonts w:hint="eastAsia"/>
        </w:rPr>
        <w:t>这部分报表保留投资者营业部变更历史，而柜台只保留客户的最新部门归属；</w:t>
      </w:r>
    </w:p>
    <w:p w14:paraId="7ED8867A">
      <w:pPr>
        <w:pStyle w:val="13"/>
        <w:numPr>
          <w:ilvl w:val="0"/>
          <w:numId w:val="1"/>
        </w:numPr>
      </w:pPr>
      <w:r>
        <w:rPr>
          <w:rFonts w:hint="eastAsia"/>
        </w:rPr>
        <w:t>最新归属，是以客户的视角统计数据，客户当天在哪个机构，则客户所有数据都归属到这个机构。</w:t>
      </w:r>
    </w:p>
    <w:p w14:paraId="162DCABC">
      <w:pPr>
        <w:pStyle w:val="13"/>
        <w:numPr>
          <w:ilvl w:val="0"/>
          <w:numId w:val="1"/>
        </w:numPr>
      </w:pPr>
      <w:r>
        <w:rPr>
          <w:rFonts w:hint="eastAsia"/>
        </w:rPr>
        <w:t>历史归属，是以营业部管理视角统计数据，客户每天的数据归属于当天客户所在的机构，客户的归属的变动体现在每天的明细数据中。</w:t>
      </w:r>
    </w:p>
    <w:p w14:paraId="7FCB8A6B">
      <w:pPr>
        <w:pStyle w:val="13"/>
      </w:pPr>
      <w:r>
        <w:rPr>
          <w:rFonts w:hint="eastAsia"/>
        </w:rPr>
        <w:t>且德索系统根据期货公司的要求，支持不同的变更日期处理方式：</w:t>
      </w:r>
    </w:p>
    <w:p w14:paraId="21B628CA">
      <w:pPr>
        <w:pStyle w:val="13"/>
      </w:pPr>
      <w:r>
        <w:rPr>
          <w:rFonts w:hint="eastAsia"/>
        </w:rPr>
        <w:t>一、变化时间在月中某天，如果是按整月划定归属，则当月的客户数据都划归新部门；</w:t>
      </w:r>
    </w:p>
    <w:p w14:paraId="1ECB2A09">
      <w:pPr>
        <w:pStyle w:val="13"/>
      </w:pPr>
      <w:r>
        <w:rPr>
          <w:rFonts w:hint="eastAsia"/>
        </w:rPr>
        <w:t>二、变化时间为月中某天，如果是按天划定归属，则当月的客户数据会同时归属于新旧两个部门，按月查询时，会出现两条记录；</w:t>
      </w:r>
    </w:p>
    <w:p w14:paraId="5FE87A6D">
      <w:pPr>
        <w:pStyle w:val="13"/>
      </w:pPr>
      <w:r>
        <w:rPr>
          <w:rFonts w:hint="eastAsia"/>
        </w:rPr>
        <w:t>交易统计表</w:t>
      </w:r>
      <w:r>
        <w:t xml:space="preserve"> - </w:t>
      </w:r>
      <w:r>
        <w:rPr>
          <w:rFonts w:hint="eastAsia"/>
        </w:rPr>
        <w:t>部分字段解释:</w:t>
      </w:r>
    </w:p>
    <w:p w14:paraId="2692801A">
      <w:pPr>
        <w:pStyle w:val="13"/>
      </w:pPr>
      <w:r>
        <w:rPr>
          <w:rFonts w:hint="eastAsia"/>
        </w:rPr>
        <w:t>保证金，实指公司保证金；</w:t>
      </w:r>
    </w:p>
    <w:p w14:paraId="1AAF34F7">
      <w:pPr>
        <w:pStyle w:val="13"/>
      </w:pPr>
      <w:r>
        <w:rPr>
          <w:rFonts w:hint="eastAsia"/>
        </w:rPr>
        <w:t>日均成交手数</w:t>
      </w:r>
      <w:r>
        <w:t xml:space="preserve"> = </w:t>
      </w:r>
      <w:r>
        <w:rPr>
          <w:rFonts w:hint="eastAsia"/>
        </w:rPr>
        <w:t>每日成交手数之和/期间交易天数</w:t>
      </w:r>
    </w:p>
    <w:p w14:paraId="020772C7">
      <w:pPr>
        <w:pStyle w:val="13"/>
      </w:pPr>
      <w:r>
        <w:rPr>
          <w:rFonts w:hint="eastAsia"/>
        </w:rPr>
        <w:t>日均成交额=</w:t>
      </w:r>
      <w:r>
        <w:t xml:space="preserve"> </w:t>
      </w:r>
      <w:r>
        <w:rPr>
          <w:rFonts w:hint="eastAsia"/>
        </w:rPr>
        <w:t>每日成交额之和/期间交易天数</w:t>
      </w:r>
    </w:p>
    <w:p w14:paraId="79278E19">
      <w:pPr>
        <w:pStyle w:val="13"/>
      </w:pPr>
      <w:r>
        <w:rPr>
          <w:rFonts w:hint="eastAsia"/>
        </w:rPr>
        <w:t>资金对账表</w:t>
      </w:r>
      <w:r>
        <w:t xml:space="preserve"> - </w:t>
      </w:r>
      <w:r>
        <w:rPr>
          <w:rFonts w:hint="eastAsia"/>
        </w:rPr>
        <w:t>部分字段解释:</w:t>
      </w:r>
    </w:p>
    <w:p w14:paraId="324051FF">
      <w:pPr>
        <w:pStyle w:val="13"/>
      </w:pPr>
      <w:r>
        <w:rPr>
          <w:rFonts w:hint="eastAsia"/>
        </w:rPr>
        <w:t>手续费周转率</w:t>
      </w:r>
      <w:r>
        <w:t xml:space="preserve"> = </w:t>
      </w:r>
      <w:r>
        <w:rPr>
          <w:rFonts w:hint="eastAsia"/>
        </w:rPr>
        <w:t>留存手续费/日均权益</w:t>
      </w:r>
    </w:p>
    <w:p w14:paraId="6558BCCC">
      <w:pPr>
        <w:pStyle w:val="13"/>
      </w:pPr>
      <w:r>
        <w:rPr>
          <w:rFonts w:hint="eastAsia"/>
        </w:rPr>
        <w:t>客户综合情况表</w:t>
      </w:r>
      <w:r>
        <w:t xml:space="preserve"> - </w:t>
      </w:r>
      <w:r>
        <w:rPr>
          <w:rFonts w:hint="eastAsia"/>
        </w:rPr>
        <w:t>部分字段解释:</w:t>
      </w:r>
    </w:p>
    <w:p w14:paraId="5CD03386">
      <w:pPr>
        <w:pStyle w:val="13"/>
      </w:pPr>
      <w:r>
        <w:rPr>
          <w:rFonts w:hint="eastAsia"/>
        </w:rPr>
        <w:t>风险级别，取自交易系统</w:t>
      </w:r>
    </w:p>
    <w:p w14:paraId="144EDF0D">
      <w:pPr>
        <w:pStyle w:val="13"/>
      </w:pPr>
      <w:r>
        <w:rPr>
          <w:rFonts w:hint="eastAsia"/>
        </w:rPr>
        <w:t>期末风险度1=公司风险度=公司保证金/权益</w:t>
      </w:r>
    </w:p>
    <w:p w14:paraId="7D1EB6DB">
      <w:pPr>
        <w:pStyle w:val="13"/>
      </w:pPr>
      <w:r>
        <w:rPr>
          <w:rFonts w:hint="eastAsia"/>
        </w:rPr>
        <w:t>期末风险度2=交易所风险度=交易所保证金/权益</w:t>
      </w:r>
    </w:p>
    <w:p w14:paraId="351B5F5A">
      <w:pPr>
        <w:pStyle w:val="27"/>
        <w:numPr>
          <w:ilvl w:val="0"/>
          <w:numId w:val="1"/>
        </w:numPr>
      </w:pPr>
      <w:r>
        <w:rPr>
          <w:rFonts w:hint="eastAsia"/>
        </w:rPr>
        <w:t>客户报表</w:t>
      </w:r>
    </w:p>
    <w:p w14:paraId="5CEE9773">
      <w:pPr>
        <w:pStyle w:val="27"/>
        <w:numPr>
          <w:ilvl w:val="1"/>
          <w:numId w:val="1"/>
        </w:numPr>
      </w:pPr>
      <w:r>
        <w:rPr>
          <w:rFonts w:hint="eastAsia"/>
        </w:rPr>
        <w:t>客户资金对帐表</w:t>
      </w:r>
    </w:p>
    <w:p w14:paraId="1EC36958">
      <w:pPr>
        <w:pStyle w:val="27"/>
        <w:numPr>
          <w:ilvl w:val="1"/>
          <w:numId w:val="1"/>
        </w:numPr>
      </w:pPr>
      <w:r>
        <w:rPr>
          <w:rFonts w:hint="eastAsia"/>
        </w:rPr>
        <w:t>客户交易统计表</w:t>
      </w:r>
    </w:p>
    <w:p w14:paraId="13D093CB">
      <w:pPr>
        <w:pStyle w:val="27"/>
        <w:numPr>
          <w:ilvl w:val="1"/>
          <w:numId w:val="1"/>
        </w:numPr>
      </w:pPr>
      <w:r>
        <w:rPr>
          <w:rFonts w:hint="eastAsia"/>
        </w:rPr>
        <w:t>客户持仓查询</w:t>
      </w:r>
    </w:p>
    <w:p w14:paraId="474CD1D2">
      <w:pPr>
        <w:pStyle w:val="27"/>
        <w:numPr>
          <w:ilvl w:val="1"/>
          <w:numId w:val="1"/>
        </w:numPr>
      </w:pPr>
      <w:r>
        <w:rPr>
          <w:rFonts w:hint="eastAsia"/>
        </w:rPr>
        <w:t>客户成交明细查询</w:t>
      </w:r>
    </w:p>
    <w:p w14:paraId="5C03A050">
      <w:pPr>
        <w:pStyle w:val="27"/>
        <w:numPr>
          <w:ilvl w:val="1"/>
          <w:numId w:val="1"/>
        </w:numPr>
      </w:pPr>
      <w:r>
        <w:rPr>
          <w:rFonts w:hint="eastAsia"/>
        </w:rPr>
        <w:t>客户出入金流水</w:t>
      </w:r>
    </w:p>
    <w:p w14:paraId="3A0419DE">
      <w:pPr>
        <w:pStyle w:val="27"/>
        <w:numPr>
          <w:ilvl w:val="1"/>
          <w:numId w:val="1"/>
        </w:numPr>
      </w:pPr>
      <w:r>
        <w:rPr>
          <w:rFonts w:hint="eastAsia"/>
        </w:rPr>
        <w:t>客户交割情况表</w:t>
      </w:r>
    </w:p>
    <w:p w14:paraId="1DD07098">
      <w:pPr>
        <w:pStyle w:val="27"/>
        <w:numPr>
          <w:ilvl w:val="1"/>
          <w:numId w:val="1"/>
        </w:numPr>
      </w:pPr>
      <w:r>
        <w:rPr>
          <w:rFonts w:hint="eastAsia"/>
        </w:rPr>
        <w:t>客户强平情况表</w:t>
      </w:r>
    </w:p>
    <w:p w14:paraId="7831C87F">
      <w:pPr>
        <w:pStyle w:val="27"/>
        <w:numPr>
          <w:ilvl w:val="1"/>
          <w:numId w:val="1"/>
        </w:numPr>
      </w:pPr>
      <w:r>
        <w:rPr>
          <w:rFonts w:hint="eastAsia"/>
        </w:rPr>
        <w:t>客户强平统计表</w:t>
      </w:r>
    </w:p>
    <w:p w14:paraId="36189494">
      <w:pPr>
        <w:pStyle w:val="27"/>
        <w:numPr>
          <w:ilvl w:val="1"/>
          <w:numId w:val="1"/>
        </w:numPr>
      </w:pPr>
      <w:r>
        <w:rPr>
          <w:rFonts w:hint="eastAsia"/>
        </w:rPr>
        <w:t>客户综合查询</w:t>
      </w:r>
    </w:p>
    <w:p w14:paraId="0CCB94F6">
      <w:pPr>
        <w:pStyle w:val="27"/>
        <w:numPr>
          <w:ilvl w:val="1"/>
          <w:numId w:val="1"/>
        </w:numPr>
      </w:pPr>
      <w:r>
        <w:rPr>
          <w:rFonts w:hint="eastAsia"/>
        </w:rPr>
        <w:t>客户交易编码查询</w:t>
      </w:r>
    </w:p>
    <w:p w14:paraId="5DCA2BCB">
      <w:pPr>
        <w:pStyle w:val="27"/>
        <w:numPr>
          <w:ilvl w:val="1"/>
          <w:numId w:val="1"/>
        </w:numPr>
      </w:pPr>
      <w:r>
        <w:rPr>
          <w:rFonts w:hint="eastAsia"/>
        </w:rPr>
        <w:t>客户实际手续费率查询</w:t>
      </w:r>
    </w:p>
    <w:p w14:paraId="382CADD3">
      <w:pPr>
        <w:pStyle w:val="27"/>
        <w:numPr>
          <w:ilvl w:val="1"/>
          <w:numId w:val="1"/>
        </w:numPr>
      </w:pPr>
      <w:r>
        <w:rPr>
          <w:rFonts w:hint="eastAsia"/>
        </w:rPr>
        <w:t>客户手续费率查询</w:t>
      </w:r>
    </w:p>
    <w:p w14:paraId="278AEF82">
      <w:pPr>
        <w:pStyle w:val="27"/>
        <w:numPr>
          <w:ilvl w:val="1"/>
          <w:numId w:val="1"/>
        </w:numPr>
      </w:pPr>
      <w:r>
        <w:rPr>
          <w:rFonts w:hint="eastAsia"/>
        </w:rPr>
        <w:t>手续费模板信息查询</w:t>
      </w:r>
    </w:p>
    <w:p w14:paraId="6D61F701">
      <w:pPr>
        <w:pStyle w:val="27"/>
        <w:numPr>
          <w:ilvl w:val="1"/>
          <w:numId w:val="1"/>
        </w:numPr>
      </w:pPr>
      <w:r>
        <w:rPr>
          <w:rFonts w:hint="eastAsia"/>
        </w:rPr>
        <w:t>客户手续费率模板查询</w:t>
      </w:r>
    </w:p>
    <w:p w14:paraId="68BED9E7">
      <w:pPr>
        <w:pStyle w:val="27"/>
        <w:numPr>
          <w:ilvl w:val="1"/>
          <w:numId w:val="1"/>
        </w:numPr>
      </w:pPr>
      <w:r>
        <w:rPr>
          <w:rFonts w:hint="eastAsia"/>
        </w:rPr>
        <w:t>客户保证金模板查询</w:t>
      </w:r>
    </w:p>
    <w:p w14:paraId="75EBB0A2">
      <w:pPr>
        <w:pStyle w:val="27"/>
        <w:numPr>
          <w:ilvl w:val="1"/>
          <w:numId w:val="1"/>
        </w:numPr>
      </w:pPr>
      <w:r>
        <w:rPr>
          <w:rFonts w:hint="eastAsia"/>
        </w:rPr>
        <w:t>投资者基本信息查询</w:t>
      </w:r>
    </w:p>
    <w:p w14:paraId="23D36EA7">
      <w:pPr>
        <w:pStyle w:val="27"/>
        <w:numPr>
          <w:ilvl w:val="1"/>
          <w:numId w:val="1"/>
        </w:numPr>
      </w:pPr>
      <w:r>
        <w:rPr>
          <w:rFonts w:hint="eastAsia"/>
        </w:rPr>
        <w:t>行权明细表</w:t>
      </w:r>
    </w:p>
    <w:p w14:paraId="5C39B34F">
      <w:pPr>
        <w:pStyle w:val="13"/>
      </w:pPr>
      <w:r>
        <w:rPr>
          <w:rFonts w:hint="eastAsia"/>
          <w:b/>
          <w:bCs/>
        </w:rPr>
        <w:t>注:</w:t>
      </w:r>
    </w:p>
    <w:p w14:paraId="4455B704">
      <w:pPr>
        <w:pStyle w:val="13"/>
      </w:pPr>
      <w:r>
        <w:rPr>
          <w:rFonts w:hint="eastAsia"/>
        </w:rPr>
        <w:t>【客户报表】则同柜台保持一致逻辑，只记录客户当前的最新归属。</w:t>
      </w:r>
    </w:p>
    <w:p w14:paraId="2C0C2FF0">
      <w:pPr>
        <w:pStyle w:val="27"/>
        <w:numPr>
          <w:ilvl w:val="0"/>
          <w:numId w:val="1"/>
        </w:numPr>
      </w:pPr>
      <w:r>
        <w:rPr>
          <w:rFonts w:hint="eastAsia"/>
        </w:rPr>
        <w:t>营业部报表</w:t>
      </w:r>
    </w:p>
    <w:p w14:paraId="223C7A7A">
      <w:pPr>
        <w:pStyle w:val="27"/>
        <w:numPr>
          <w:ilvl w:val="1"/>
          <w:numId w:val="1"/>
        </w:numPr>
      </w:pPr>
      <w:r>
        <w:rPr>
          <w:rFonts w:hint="eastAsia"/>
        </w:rPr>
        <w:t>营业部综合情况月报</w:t>
      </w:r>
    </w:p>
    <w:p w14:paraId="23F52463">
      <w:pPr>
        <w:pStyle w:val="27"/>
        <w:numPr>
          <w:ilvl w:val="1"/>
          <w:numId w:val="1"/>
        </w:numPr>
      </w:pPr>
      <w:r>
        <w:rPr>
          <w:rFonts w:hint="eastAsia"/>
        </w:rPr>
        <w:t>营业部统计年报</w:t>
      </w:r>
    </w:p>
    <w:p w14:paraId="597E5BBB">
      <w:pPr>
        <w:pStyle w:val="27"/>
        <w:numPr>
          <w:ilvl w:val="1"/>
          <w:numId w:val="1"/>
        </w:numPr>
      </w:pPr>
      <w:r>
        <w:rPr>
          <w:rFonts w:hint="eastAsia"/>
        </w:rPr>
        <w:t>营业部客户权益结构表</w:t>
      </w:r>
    </w:p>
    <w:p w14:paraId="0B2BCF47">
      <w:pPr>
        <w:pStyle w:val="27"/>
        <w:numPr>
          <w:ilvl w:val="1"/>
          <w:numId w:val="1"/>
        </w:numPr>
      </w:pPr>
      <w:r>
        <w:rPr>
          <w:rFonts w:hint="eastAsia"/>
        </w:rPr>
        <w:t>营业部成交金额分布情况</w:t>
      </w:r>
    </w:p>
    <w:p w14:paraId="268A2EE3">
      <w:pPr>
        <w:pStyle w:val="27"/>
        <w:numPr>
          <w:ilvl w:val="1"/>
          <w:numId w:val="1"/>
        </w:numPr>
      </w:pPr>
      <w:r>
        <w:rPr>
          <w:rFonts w:hint="eastAsia"/>
        </w:rPr>
        <w:t>营业部交易编码申请统计表</w:t>
      </w:r>
    </w:p>
    <w:p w14:paraId="0FBFE1E6">
      <w:pPr>
        <w:pStyle w:val="27"/>
        <w:numPr>
          <w:ilvl w:val="1"/>
          <w:numId w:val="1"/>
        </w:numPr>
      </w:pPr>
      <w:r>
        <w:rPr>
          <w:rFonts w:hint="eastAsia"/>
        </w:rPr>
        <w:t>营业部开销户查询</w:t>
      </w:r>
    </w:p>
    <w:p w14:paraId="1DF5F27F">
      <w:pPr>
        <w:pStyle w:val="27"/>
        <w:numPr>
          <w:ilvl w:val="1"/>
          <w:numId w:val="1"/>
        </w:numPr>
      </w:pPr>
      <w:r>
        <w:rPr>
          <w:rFonts w:hint="eastAsia"/>
        </w:rPr>
        <w:t>营业部客户情况表</w:t>
      </w:r>
    </w:p>
    <w:p w14:paraId="39AE5FF1">
      <w:pPr>
        <w:pStyle w:val="27"/>
        <w:numPr>
          <w:ilvl w:val="1"/>
          <w:numId w:val="1"/>
        </w:numPr>
      </w:pPr>
      <w:r>
        <w:rPr>
          <w:rFonts w:hint="eastAsia"/>
        </w:rPr>
        <w:t>营业部市场份额表</w:t>
      </w:r>
    </w:p>
    <w:p w14:paraId="2B8EBF94">
      <w:pPr>
        <w:pStyle w:val="27"/>
        <w:numPr>
          <w:ilvl w:val="1"/>
          <w:numId w:val="1"/>
        </w:numPr>
      </w:pPr>
      <w:r>
        <w:rPr>
          <w:rFonts w:hint="eastAsia"/>
        </w:rPr>
        <w:t>月度新开户统计表</w:t>
      </w:r>
    </w:p>
    <w:p w14:paraId="12423B8C">
      <w:pPr>
        <w:pStyle w:val="27"/>
        <w:numPr>
          <w:ilvl w:val="1"/>
          <w:numId w:val="1"/>
        </w:numPr>
      </w:pPr>
      <w:r>
        <w:rPr>
          <w:rFonts w:hint="eastAsia"/>
        </w:rPr>
        <w:t>指定时段开户客户情况表</w:t>
      </w:r>
    </w:p>
    <w:p w14:paraId="6BF86593">
      <w:pPr>
        <w:pStyle w:val="27"/>
        <w:numPr>
          <w:ilvl w:val="1"/>
          <w:numId w:val="1"/>
        </w:numPr>
      </w:pPr>
      <w:r>
        <w:rPr>
          <w:rFonts w:hint="eastAsia"/>
        </w:rPr>
        <w:t>指定时段市场占有率统计</w:t>
      </w:r>
    </w:p>
    <w:p w14:paraId="48801CD8">
      <w:pPr>
        <w:pStyle w:val="27"/>
        <w:numPr>
          <w:ilvl w:val="1"/>
          <w:numId w:val="1"/>
        </w:numPr>
      </w:pPr>
      <w:r>
        <w:rPr>
          <w:rFonts w:hint="eastAsia"/>
        </w:rPr>
        <w:t>营业部夜盘统计表</w:t>
      </w:r>
    </w:p>
    <w:p w14:paraId="00C792D5">
      <w:pPr>
        <w:pStyle w:val="27"/>
        <w:numPr>
          <w:ilvl w:val="1"/>
          <w:numId w:val="1"/>
        </w:numPr>
      </w:pPr>
      <w:r>
        <w:rPr>
          <w:rFonts w:hint="eastAsia"/>
        </w:rPr>
        <w:t>月度指标统计表</w:t>
      </w:r>
    </w:p>
    <w:p w14:paraId="4B9BDCB6">
      <w:pPr>
        <w:pStyle w:val="27"/>
        <w:numPr>
          <w:ilvl w:val="1"/>
          <w:numId w:val="1"/>
        </w:numPr>
      </w:pPr>
      <w:r>
        <w:rPr>
          <w:rFonts w:hint="eastAsia"/>
        </w:rPr>
        <w:t>营业部强平追保情况表</w:t>
      </w:r>
    </w:p>
    <w:p w14:paraId="4D287804">
      <w:pPr>
        <w:pStyle w:val="13"/>
      </w:pPr>
      <w:r>
        <w:rPr>
          <w:rFonts w:hint="eastAsia"/>
          <w:b/>
          <w:bCs/>
        </w:rPr>
        <w:t>注:</w:t>
      </w:r>
    </w:p>
    <w:p w14:paraId="697F1DAB">
      <w:pPr>
        <w:pStyle w:val="13"/>
      </w:pPr>
      <w:r>
        <w:rPr>
          <w:rFonts w:hint="eastAsia"/>
        </w:rPr>
        <w:t>此栏目下的报表，按”营业部”维度进行统计的报表，不一定是能直接下放给营业部人员看的，因为有些报表可能没有做数据权限控制。</w:t>
      </w:r>
    </w:p>
    <w:p w14:paraId="1B7346F5">
      <w:pPr>
        <w:pStyle w:val="13"/>
      </w:pPr>
      <w:r>
        <w:rPr>
          <w:rFonts w:hint="eastAsia"/>
        </w:rPr>
        <w:t>营业部综合情况表</w:t>
      </w:r>
      <w:r>
        <w:t xml:space="preserve"> - </w:t>
      </w:r>
      <w:r>
        <w:rPr>
          <w:rFonts w:hint="eastAsia"/>
        </w:rPr>
        <w:t>部分字段解释：</w:t>
      </w:r>
    </w:p>
    <w:p w14:paraId="2B7DAB68">
      <w:pPr>
        <w:pStyle w:val="13"/>
      </w:pPr>
      <w:r>
        <w:rPr>
          <w:rFonts w:hint="eastAsia"/>
        </w:rPr>
        <w:t>盈利客户数=总盈亏&gt;=0的客户</w:t>
      </w:r>
    </w:p>
    <w:p w14:paraId="7CC25DFF">
      <w:pPr>
        <w:pStyle w:val="13"/>
      </w:pPr>
      <w:r>
        <w:rPr>
          <w:rFonts w:hint="eastAsia"/>
        </w:rPr>
        <w:t>亏损客户数=总盈亏&lt;0的客户</w:t>
      </w:r>
    </w:p>
    <w:p w14:paraId="7C91B602">
      <w:pPr>
        <w:pStyle w:val="13"/>
      </w:pPr>
      <w:r>
        <w:rPr>
          <w:rFonts w:hint="eastAsia"/>
        </w:rPr>
        <w:t>净盈利客户数=净盈亏&gt;=0的客户</w:t>
      </w:r>
    </w:p>
    <w:p w14:paraId="4727FF8F">
      <w:pPr>
        <w:pStyle w:val="13"/>
      </w:pPr>
      <w:r>
        <w:rPr>
          <w:rFonts w:hint="eastAsia"/>
        </w:rPr>
        <w:t>净亏损客户数=净盈亏&lt;0的客户</w:t>
      </w:r>
    </w:p>
    <w:p w14:paraId="60001B01">
      <w:pPr>
        <w:pStyle w:val="13"/>
      </w:pPr>
      <w:r>
        <w:rPr>
          <w:rFonts w:hint="eastAsia"/>
        </w:rPr>
        <w:t>营业部统计年报</w:t>
      </w:r>
      <w:r>
        <w:t xml:space="preserve"> - </w:t>
      </w:r>
      <w:r>
        <w:rPr>
          <w:rFonts w:hint="eastAsia"/>
        </w:rPr>
        <w:t>部分字段解释：</w:t>
      </w:r>
    </w:p>
    <w:p w14:paraId="340C01CE">
      <w:pPr>
        <w:pStyle w:val="13"/>
      </w:pPr>
      <w:r>
        <w:rPr>
          <w:rFonts w:hint="eastAsia"/>
        </w:rPr>
        <w:t>手续费流转率：统计期内</w:t>
      </w:r>
      <w:r>
        <w:t xml:space="preserve"> </w:t>
      </w:r>
      <w:r>
        <w:rPr>
          <w:rFonts w:hint="eastAsia"/>
        </w:rPr>
        <w:t>手续费之和*天数/每日权益之和</w:t>
      </w:r>
    </w:p>
    <w:p w14:paraId="1DDBCA8F">
      <w:pPr>
        <w:pStyle w:val="13"/>
      </w:pPr>
      <w:r>
        <w:rPr>
          <w:rFonts w:hint="eastAsia"/>
        </w:rPr>
        <w:t>日均权益：AVG(每日期末权益),统计期内每天的期末权益之和/交易日天数</w:t>
      </w:r>
    </w:p>
    <w:p w14:paraId="28CD5B61">
      <w:pPr>
        <w:pStyle w:val="13"/>
      </w:pPr>
      <w:r>
        <w:rPr>
          <w:rFonts w:hint="eastAsia"/>
        </w:rPr>
        <w:t>平均可用资金：AVG(每日可用资金),统计期内每天的可用资金之和/交易日天数</w:t>
      </w:r>
    </w:p>
    <w:p w14:paraId="5820C496">
      <w:pPr>
        <w:pStyle w:val="13"/>
      </w:pPr>
      <w:r>
        <w:rPr>
          <w:rFonts w:hint="eastAsia"/>
        </w:rPr>
        <w:t>赢利客户数：总盈亏&gt;=0的客户</w:t>
      </w:r>
    </w:p>
    <w:p w14:paraId="02815FF2">
      <w:pPr>
        <w:pStyle w:val="13"/>
      </w:pPr>
      <w:r>
        <w:rPr>
          <w:rFonts w:hint="eastAsia"/>
        </w:rPr>
        <w:t>亏损客户数=总盈亏&lt;0的客户</w:t>
      </w:r>
    </w:p>
    <w:p w14:paraId="4DCC908E">
      <w:pPr>
        <w:pStyle w:val="13"/>
      </w:pPr>
      <w:r>
        <w:rPr>
          <w:rFonts w:hint="eastAsia"/>
        </w:rPr>
        <w:t>盈利面：赢利客户数/总客户数</w:t>
      </w:r>
    </w:p>
    <w:p w14:paraId="507303F0">
      <w:pPr>
        <w:pStyle w:val="13"/>
      </w:pPr>
      <w:r>
        <w:rPr>
          <w:rFonts w:hint="eastAsia"/>
        </w:rPr>
        <w:t>平仓盈利人数：统计期内</w:t>
      </w:r>
      <w:r>
        <w:t xml:space="preserve"> </w:t>
      </w:r>
      <w:r>
        <w:rPr>
          <w:rFonts w:hint="eastAsia"/>
        </w:rPr>
        <w:t>累计平仓盈亏（逐日）&gt;0的客户数</w:t>
      </w:r>
    </w:p>
    <w:p w14:paraId="2379B124">
      <w:pPr>
        <w:pStyle w:val="13"/>
      </w:pPr>
      <w:r>
        <w:rPr>
          <w:rFonts w:hint="eastAsia"/>
        </w:rPr>
        <w:t>营业部客户综合情况表</w:t>
      </w:r>
      <w:r>
        <w:t xml:space="preserve"> - </w:t>
      </w:r>
      <w:r>
        <w:rPr>
          <w:rFonts w:hint="eastAsia"/>
        </w:rPr>
        <w:t>部分字段解释：</w:t>
      </w:r>
    </w:p>
    <w:p w14:paraId="70CF56E1">
      <w:pPr>
        <w:pStyle w:val="13"/>
      </w:pPr>
      <w:r>
        <w:rPr>
          <w:rFonts w:hint="eastAsia"/>
        </w:rPr>
        <w:t>盈利客户数=总盈亏&gt;=0的客户</w:t>
      </w:r>
    </w:p>
    <w:p w14:paraId="373F47A8">
      <w:pPr>
        <w:pStyle w:val="13"/>
      </w:pPr>
      <w:r>
        <w:rPr>
          <w:rFonts w:hint="eastAsia"/>
        </w:rPr>
        <w:t>亏损客户数=总盈亏&lt;0的客户</w:t>
      </w:r>
    </w:p>
    <w:p w14:paraId="265BD0C0">
      <w:pPr>
        <w:pStyle w:val="13"/>
      </w:pPr>
      <w:r>
        <w:rPr>
          <w:rFonts w:hint="eastAsia"/>
        </w:rPr>
        <w:t>净盈利客户数=净盈亏&gt;=0的客户</w:t>
      </w:r>
    </w:p>
    <w:p w14:paraId="53B3B2E5">
      <w:pPr>
        <w:pStyle w:val="13"/>
      </w:pPr>
      <w:r>
        <w:rPr>
          <w:rFonts w:hint="eastAsia"/>
        </w:rPr>
        <w:t>净亏损客户数=净盈亏&lt;0的客户</w:t>
      </w:r>
    </w:p>
    <w:p w14:paraId="2C7649BC">
      <w:pPr>
        <w:pStyle w:val="13"/>
      </w:pPr>
      <w:r>
        <w:rPr>
          <w:rFonts w:hint="eastAsia"/>
        </w:rPr>
        <w:t>有交易客户：统计期内有持仓或有成交或者交割</w:t>
      </w:r>
    </w:p>
    <w:p w14:paraId="40257617">
      <w:pPr>
        <w:pStyle w:val="27"/>
        <w:numPr>
          <w:ilvl w:val="0"/>
          <w:numId w:val="1"/>
        </w:numPr>
      </w:pPr>
      <w:r>
        <w:rPr>
          <w:rFonts w:hint="eastAsia"/>
        </w:rPr>
        <w:t>公司报表</w:t>
      </w:r>
    </w:p>
    <w:p w14:paraId="2B8E974A">
      <w:pPr>
        <w:pStyle w:val="27"/>
        <w:numPr>
          <w:ilvl w:val="1"/>
          <w:numId w:val="1"/>
        </w:numPr>
      </w:pPr>
      <w:r>
        <w:rPr>
          <w:rFonts w:hint="eastAsia"/>
        </w:rPr>
        <w:t>分品种交易量统计</w:t>
      </w:r>
    </w:p>
    <w:p w14:paraId="51760FBC">
      <w:pPr>
        <w:pStyle w:val="27"/>
        <w:numPr>
          <w:ilvl w:val="1"/>
          <w:numId w:val="1"/>
        </w:numPr>
      </w:pPr>
      <w:r>
        <w:rPr>
          <w:rFonts w:hint="eastAsia"/>
        </w:rPr>
        <w:t>月度市场品种统计表</w:t>
      </w:r>
    </w:p>
    <w:p w14:paraId="01A53223">
      <w:pPr>
        <w:pStyle w:val="27"/>
        <w:numPr>
          <w:ilvl w:val="1"/>
          <w:numId w:val="1"/>
        </w:numPr>
      </w:pPr>
      <w:r>
        <w:rPr>
          <w:rFonts w:hint="eastAsia"/>
        </w:rPr>
        <w:t>月度公司品种统计表</w:t>
      </w:r>
    </w:p>
    <w:p w14:paraId="4232F2AC">
      <w:pPr>
        <w:pStyle w:val="27"/>
        <w:numPr>
          <w:ilvl w:val="1"/>
          <w:numId w:val="1"/>
        </w:numPr>
      </w:pPr>
      <w:r>
        <w:rPr>
          <w:rFonts w:hint="eastAsia"/>
        </w:rPr>
        <w:t>交易量统计表</w:t>
      </w:r>
    </w:p>
    <w:p w14:paraId="2EFE86C2">
      <w:pPr>
        <w:pStyle w:val="27"/>
        <w:numPr>
          <w:ilvl w:val="1"/>
          <w:numId w:val="1"/>
        </w:numPr>
      </w:pPr>
      <w:r>
        <w:rPr>
          <w:rFonts w:hint="eastAsia"/>
        </w:rPr>
        <w:t>公司交易所成交统计表</w:t>
      </w:r>
    </w:p>
    <w:p w14:paraId="3D888DAE">
      <w:pPr>
        <w:pStyle w:val="27"/>
        <w:numPr>
          <w:ilvl w:val="1"/>
          <w:numId w:val="1"/>
        </w:numPr>
      </w:pPr>
      <w:r>
        <w:rPr>
          <w:rFonts w:hint="eastAsia"/>
        </w:rPr>
        <w:t>各席位资金持仓报表</w:t>
      </w:r>
    </w:p>
    <w:p w14:paraId="36FE11F7">
      <w:pPr>
        <w:pStyle w:val="27"/>
        <w:numPr>
          <w:ilvl w:val="1"/>
          <w:numId w:val="1"/>
        </w:numPr>
      </w:pPr>
      <w:r>
        <w:rPr>
          <w:rFonts w:hint="eastAsia"/>
        </w:rPr>
        <w:t>月度客户类型统计表</w:t>
      </w:r>
    </w:p>
    <w:p w14:paraId="3E8902CC">
      <w:pPr>
        <w:pStyle w:val="27"/>
        <w:numPr>
          <w:ilvl w:val="1"/>
          <w:numId w:val="1"/>
        </w:numPr>
      </w:pPr>
      <w:r>
        <w:rPr>
          <w:rFonts w:hint="eastAsia"/>
        </w:rPr>
        <w:t>席位资金查询</w:t>
      </w:r>
    </w:p>
    <w:p w14:paraId="4E23A126">
      <w:pPr>
        <w:pStyle w:val="27"/>
        <w:numPr>
          <w:ilvl w:val="1"/>
          <w:numId w:val="1"/>
        </w:numPr>
      </w:pPr>
      <w:r>
        <w:rPr>
          <w:rFonts w:hint="eastAsia"/>
        </w:rPr>
        <w:t>持仓汇总表</w:t>
      </w:r>
    </w:p>
    <w:p w14:paraId="511F9769">
      <w:pPr>
        <w:pStyle w:val="27"/>
        <w:numPr>
          <w:ilvl w:val="0"/>
          <w:numId w:val="1"/>
        </w:numPr>
      </w:pPr>
      <w:r>
        <w:rPr>
          <w:rFonts w:hint="eastAsia"/>
        </w:rPr>
        <w:t>监管报表</w:t>
      </w:r>
    </w:p>
    <w:p w14:paraId="41D6621B">
      <w:pPr>
        <w:pStyle w:val="27"/>
        <w:numPr>
          <w:ilvl w:val="1"/>
          <w:numId w:val="1"/>
        </w:numPr>
      </w:pPr>
      <w:r>
        <w:rPr>
          <w:rFonts w:hint="eastAsia"/>
        </w:rPr>
        <w:t>FS4营业部列表维护表</w:t>
      </w:r>
    </w:p>
    <w:p w14:paraId="1E1BFEC7">
      <w:pPr>
        <w:pStyle w:val="27"/>
        <w:numPr>
          <w:ilvl w:val="1"/>
          <w:numId w:val="1"/>
        </w:numPr>
      </w:pPr>
      <w:r>
        <w:rPr>
          <w:rFonts w:hint="eastAsia"/>
        </w:rPr>
        <w:t>FS4上_境内分支机构报表模板</w:t>
      </w:r>
    </w:p>
    <w:p w14:paraId="5084FB91">
      <w:pPr>
        <w:pStyle w:val="27"/>
        <w:numPr>
          <w:ilvl w:val="1"/>
          <w:numId w:val="1"/>
        </w:numPr>
      </w:pPr>
      <w:r>
        <w:rPr>
          <w:rFonts w:hint="eastAsia"/>
        </w:rPr>
        <w:t>FS4下_境内分支机构报表模板</w:t>
      </w:r>
    </w:p>
    <w:p w14:paraId="14E8DF02">
      <w:pPr>
        <w:pStyle w:val="27"/>
        <w:numPr>
          <w:ilvl w:val="1"/>
          <w:numId w:val="1"/>
        </w:numPr>
      </w:pPr>
      <w:r>
        <w:rPr>
          <w:rFonts w:hint="eastAsia"/>
        </w:rPr>
        <w:t>FS5:IB营业部维护表</w:t>
      </w:r>
    </w:p>
    <w:p w14:paraId="344E9D09">
      <w:pPr>
        <w:pStyle w:val="27"/>
        <w:numPr>
          <w:ilvl w:val="1"/>
          <w:numId w:val="1"/>
        </w:numPr>
      </w:pPr>
      <w:r>
        <w:rPr>
          <w:rFonts w:hint="eastAsia"/>
        </w:rPr>
        <w:t>FS5:IB营业部经营情况表</w:t>
      </w:r>
    </w:p>
    <w:p w14:paraId="1BC1C21F">
      <w:pPr>
        <w:pStyle w:val="27"/>
        <w:numPr>
          <w:ilvl w:val="1"/>
          <w:numId w:val="1"/>
        </w:numPr>
      </w:pPr>
      <w:r>
        <w:rPr>
          <w:rFonts w:hint="eastAsia"/>
        </w:rPr>
        <w:t>F19经纪业务手续费净收入</w:t>
      </w:r>
    </w:p>
    <w:p w14:paraId="6494B389">
      <w:pPr>
        <w:pStyle w:val="27"/>
        <w:numPr>
          <w:ilvl w:val="1"/>
          <w:numId w:val="1"/>
        </w:numPr>
      </w:pPr>
      <w:r>
        <w:rPr>
          <w:rFonts w:hint="eastAsia"/>
        </w:rPr>
        <w:t>上市公司客户统计</w:t>
      </w:r>
    </w:p>
    <w:p w14:paraId="148EF09C">
      <w:pPr>
        <w:pStyle w:val="27"/>
        <w:numPr>
          <w:ilvl w:val="1"/>
          <w:numId w:val="1"/>
        </w:numPr>
      </w:pPr>
      <w:r>
        <w:rPr>
          <w:rFonts w:hint="eastAsia"/>
        </w:rPr>
        <w:t>上市公司客户明细统计</w:t>
      </w:r>
    </w:p>
    <w:p w14:paraId="56002E49">
      <w:pPr>
        <w:pStyle w:val="27"/>
        <w:numPr>
          <w:ilvl w:val="0"/>
          <w:numId w:val="1"/>
        </w:numPr>
      </w:pPr>
      <w:r>
        <w:rPr>
          <w:rFonts w:hint="eastAsia"/>
        </w:rPr>
        <w:t>IB报表</w:t>
      </w:r>
    </w:p>
    <w:p w14:paraId="38D364A3">
      <w:pPr>
        <w:pStyle w:val="27"/>
        <w:numPr>
          <w:ilvl w:val="1"/>
          <w:numId w:val="1"/>
        </w:numPr>
      </w:pPr>
      <w:r>
        <w:rPr>
          <w:rFonts w:hint="eastAsia"/>
        </w:rPr>
        <w:t>IB营业部手续费对应表</w:t>
      </w:r>
    </w:p>
    <w:p w14:paraId="19E7C8B2">
      <w:pPr>
        <w:pStyle w:val="27"/>
        <w:numPr>
          <w:ilvl w:val="1"/>
          <w:numId w:val="1"/>
        </w:numPr>
      </w:pPr>
      <w:r>
        <w:rPr>
          <w:rFonts w:hint="eastAsia"/>
        </w:rPr>
        <w:t>IB营业部期末权益对应表</w:t>
      </w:r>
    </w:p>
    <w:p w14:paraId="0B9D2755">
      <w:pPr>
        <w:pStyle w:val="27"/>
        <w:numPr>
          <w:ilvl w:val="1"/>
          <w:numId w:val="1"/>
        </w:numPr>
      </w:pPr>
      <w:r>
        <w:rPr>
          <w:rFonts w:hint="eastAsia"/>
        </w:rPr>
        <w:t>IB营业部日均权益对应表</w:t>
      </w:r>
    </w:p>
    <w:p w14:paraId="24FDDE51">
      <w:pPr>
        <w:pStyle w:val="27"/>
        <w:numPr>
          <w:ilvl w:val="1"/>
          <w:numId w:val="1"/>
        </w:numPr>
      </w:pPr>
      <w:r>
        <w:rPr>
          <w:rFonts w:hint="eastAsia"/>
        </w:rPr>
        <w:t>IB营业部开户数对应表</w:t>
      </w:r>
    </w:p>
    <w:p w14:paraId="7ACBCC65">
      <w:pPr>
        <w:pStyle w:val="27"/>
        <w:numPr>
          <w:ilvl w:val="1"/>
          <w:numId w:val="1"/>
        </w:numPr>
      </w:pPr>
      <w:r>
        <w:rPr>
          <w:rFonts w:hint="eastAsia"/>
        </w:rPr>
        <w:t>IB营业部净手续费对应表</w:t>
      </w:r>
    </w:p>
    <w:bookmarkEnd w:id="3"/>
    <w:p w14:paraId="4A028CB9">
      <w:pPr>
        <w:pStyle w:val="4"/>
      </w:pPr>
      <w:bookmarkStart w:id="4" w:name="_Toc734"/>
      <w:bookmarkStart w:id="5" w:name="二功能介绍"/>
      <w:r>
        <w:rPr>
          <w:rFonts w:hint="eastAsia"/>
        </w:rPr>
        <w:t>二、功能介绍</w:t>
      </w:r>
      <w:bookmarkEnd w:id="4"/>
    </w:p>
    <w:p w14:paraId="6BA5CD32">
      <w:pPr>
        <w:pStyle w:val="26"/>
      </w:pPr>
      <w:r>
        <w:rPr>
          <w:rFonts w:hint="eastAsia"/>
        </w:rPr>
        <w:t>报表中心，除了内置的常用报表之外，也提供个性化定制的功能，可以针对具体的报表做字段的增减及计算逻辑的调整，最终目的，是减轻中后台人员手工制表的工作，将重复的，规则明确的报表集中到系统中来展示与管理，让中后台人员从繁复的基础制表工作中解放出来，从而能够支撑公司更多业务运营上的需求。</w:t>
      </w:r>
    </w:p>
    <w:p w14:paraId="1EBA7DAA">
      <w:pPr>
        <w:pStyle w:val="5"/>
      </w:pPr>
      <w:bookmarkStart w:id="6" w:name="_Toc26943"/>
      <w:bookmarkStart w:id="7" w:name="营业部管理"/>
      <w:r>
        <w:rPr>
          <w:rFonts w:hint="eastAsia"/>
        </w:rPr>
        <w:t>1.营业部管理</w:t>
      </w:r>
      <w:bookmarkEnd w:id="6"/>
    </w:p>
    <w:p w14:paraId="03EEC87B">
      <w:pPr>
        <w:pStyle w:val="26"/>
      </w:pPr>
      <w:r>
        <w:rPr>
          <w:rFonts w:hint="eastAsia"/>
        </w:rPr>
        <w:t>若柜台定义的组织架构不适用于实际的运营管理，则可以在德索系统上，自定义统计范围及口径。营业部管理用于定义报表数据的选择范围，可以设置不同的数据级别，从分公司、营业部、IB多个角度划分数据范围。</w:t>
      </w:r>
    </w:p>
    <w:p w14:paraId="1EB5F571">
      <w:pPr>
        <w:pStyle w:val="27"/>
        <w:numPr>
          <w:ilvl w:val="0"/>
          <w:numId w:val="1"/>
        </w:numPr>
      </w:pPr>
      <w:r>
        <w:rPr>
          <w:rFonts w:hint="eastAsia"/>
        </w:rPr>
        <w:t>分公司维护</w:t>
      </w:r>
      <w:r>
        <w:t xml:space="preserve"> &amp; </w:t>
      </w:r>
      <w:r>
        <w:rPr>
          <w:rFonts w:hint="eastAsia"/>
        </w:rPr>
        <w:t>营业部归属分公司维护</w:t>
      </w:r>
    </w:p>
    <w:p w14:paraId="3E047412">
      <w:pPr>
        <w:pStyle w:val="26"/>
      </w:pPr>
      <w:r>
        <w:rPr>
          <w:rFonts w:hint="eastAsia"/>
        </w:rPr>
        <w:t>维护分公司，再将某几个营业部或统计团体归属于某一个分公司的情况；</w:t>
      </w:r>
    </w:p>
    <w:p w14:paraId="690EBAFA">
      <w:pPr>
        <w:pStyle w:val="3"/>
      </w:pPr>
      <w:r>
        <w:drawing>
          <wp:inline distT="0" distB="0" distL="114300" distR="114300">
            <wp:extent cx="5334000" cy="1040130"/>
            <wp:effectExtent l="0" t="0" r="0" b="0"/>
            <wp:docPr id="2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040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19D15D">
      <w:pPr>
        <w:pStyle w:val="3"/>
      </w:pPr>
      <w:r>
        <w:drawing>
          <wp:inline distT="0" distB="0" distL="114300" distR="114300">
            <wp:extent cx="5334000" cy="1823085"/>
            <wp:effectExtent l="0" t="0" r="0" b="0"/>
            <wp:docPr id="2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8232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5178DC9">
      <w:pPr>
        <w:pStyle w:val="3"/>
      </w:pPr>
      <w:r>
        <w:rPr>
          <w:rFonts w:hint="eastAsia"/>
        </w:rPr>
        <w:t>后续以此作为统计口径，可以出具分公司统计维护的报表；</w:t>
      </w:r>
    </w:p>
    <w:p w14:paraId="0D5C0192">
      <w:pPr>
        <w:pStyle w:val="27"/>
        <w:numPr>
          <w:ilvl w:val="0"/>
          <w:numId w:val="1"/>
        </w:numPr>
      </w:pPr>
      <w:r>
        <w:rPr>
          <w:rFonts w:hint="eastAsia"/>
        </w:rPr>
        <w:t>IB营业部管理</w:t>
      </w:r>
    </w:p>
    <w:p w14:paraId="3746AC57">
      <w:pPr>
        <w:pStyle w:val="26"/>
      </w:pPr>
      <w:r>
        <w:rPr>
          <w:rFonts w:hint="eastAsia"/>
        </w:rPr>
        <w:t>用于对应期货营业部与IB营业部的关联关系，实际影响【IB报表】模块的数据统计范围；</w:t>
      </w:r>
    </w:p>
    <w:p w14:paraId="0B4F821D">
      <w:pPr>
        <w:pStyle w:val="3"/>
      </w:pPr>
      <w:r>
        <w:drawing>
          <wp:inline distT="0" distB="0" distL="114300" distR="114300">
            <wp:extent cx="5334000" cy="1102360"/>
            <wp:effectExtent l="0" t="0" r="0" b="0"/>
            <wp:docPr id="2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02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DF2564">
      <w:pPr>
        <w:pStyle w:val="27"/>
        <w:numPr>
          <w:ilvl w:val="0"/>
          <w:numId w:val="1"/>
        </w:numPr>
      </w:pPr>
      <w:r>
        <w:rPr>
          <w:rFonts w:hint="eastAsia"/>
        </w:rPr>
        <w:t>营业部统计口径1</w:t>
      </w:r>
    </w:p>
    <w:p w14:paraId="4867C288">
      <w:pPr>
        <w:pStyle w:val="26"/>
      </w:pPr>
      <w:r>
        <w:rPr>
          <w:rFonts w:hint="eastAsia"/>
        </w:rPr>
        <w:t>只是一个例子，用于将个别营业部的数据合并到指定的部门去，满足实际归属与统计归属不同的情况。</w:t>
      </w:r>
    </w:p>
    <w:p w14:paraId="34E09C11">
      <w:pPr>
        <w:pStyle w:val="3"/>
      </w:pPr>
      <w:r>
        <w:drawing>
          <wp:inline distT="0" distB="0" distL="114300" distR="114300">
            <wp:extent cx="5334000" cy="1507490"/>
            <wp:effectExtent l="0" t="0" r="0" b="0"/>
            <wp:docPr id="3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50798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4CC3BDE">
      <w:pPr>
        <w:pStyle w:val="3"/>
      </w:pPr>
      <w:r>
        <w:rPr>
          <w:rFonts w:hint="eastAsia"/>
        </w:rPr>
        <w:t>实际使用，通过报表查询条件中的机构类型进行区分，可以理解成对数据按不同的营业部层级进行统计。</w:t>
      </w:r>
    </w:p>
    <w:p w14:paraId="71FD6E93">
      <w:pPr>
        <w:pStyle w:val="3"/>
      </w:pPr>
      <w:r>
        <w:drawing>
          <wp:inline distT="0" distB="0" distL="114300" distR="114300">
            <wp:extent cx="2418715" cy="2028190"/>
            <wp:effectExtent l="0" t="0" r="0" b="0"/>
            <wp:docPr id="3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9199" cy="202869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B86E6B">
      <w:pPr>
        <w:pStyle w:val="27"/>
        <w:numPr>
          <w:ilvl w:val="0"/>
          <w:numId w:val="1"/>
        </w:numPr>
      </w:pPr>
      <w:r>
        <w:rPr>
          <w:rFonts w:hint="eastAsia"/>
        </w:rPr>
        <w:t>营业部统计口径2同”营业部统计口径1”</w:t>
      </w:r>
    </w:p>
    <w:bookmarkEnd w:id="7"/>
    <w:p w14:paraId="10173EFE">
      <w:pPr>
        <w:pStyle w:val="5"/>
      </w:pPr>
      <w:bookmarkStart w:id="8" w:name="_Toc594"/>
      <w:bookmarkStart w:id="9" w:name="报表分类"/>
      <w:r>
        <w:rPr>
          <w:rFonts w:hint="eastAsia"/>
        </w:rPr>
        <w:t>2.报表分类</w:t>
      </w:r>
      <w:bookmarkEnd w:id="8"/>
    </w:p>
    <w:p w14:paraId="21CBA397">
      <w:pPr>
        <w:pStyle w:val="26"/>
      </w:pPr>
      <w:r>
        <w:rPr>
          <w:rFonts w:hint="eastAsia"/>
        </w:rPr>
        <w:t>报表按照生成方式大致分为：</w:t>
      </w:r>
    </w:p>
    <w:p w14:paraId="02D1EBEC">
      <w:pPr>
        <w:pStyle w:val="27"/>
        <w:numPr>
          <w:ilvl w:val="0"/>
          <w:numId w:val="1"/>
        </w:numPr>
      </w:pPr>
      <w:r>
        <w:rPr>
          <w:rFonts w:hint="eastAsia"/>
        </w:rPr>
        <w:t>行列式报表</w:t>
      </w:r>
    </w:p>
    <w:p w14:paraId="4890840B">
      <w:pPr>
        <w:pStyle w:val="13"/>
      </w:pPr>
      <w:r>
        <w:rPr>
          <w:rFonts w:hint="eastAsia"/>
        </w:rPr>
        <w:t>表头固定，每行数据跟表头保持一致。</w:t>
      </w:r>
    </w:p>
    <w:p w14:paraId="0A20F96A">
      <w:pPr>
        <w:pStyle w:val="13"/>
      </w:pPr>
      <w:r>
        <w:drawing>
          <wp:inline distT="0" distB="0" distL="114300" distR="114300">
            <wp:extent cx="5334000" cy="2766060"/>
            <wp:effectExtent l="0" t="0" r="0" b="0"/>
            <wp:docPr id="3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6623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C5AE696">
      <w:pPr>
        <w:pStyle w:val="27"/>
        <w:numPr>
          <w:ilvl w:val="0"/>
          <w:numId w:val="1"/>
        </w:numPr>
      </w:pPr>
      <w:r>
        <w:rPr>
          <w:rFonts w:hint="eastAsia"/>
        </w:rPr>
        <w:t>指标报表</w:t>
      </w:r>
    </w:p>
    <w:p w14:paraId="6B0260B3">
      <w:pPr>
        <w:pStyle w:val="13"/>
      </w:pPr>
      <w:r>
        <w:rPr>
          <w:rFonts w:hint="eastAsia"/>
        </w:rPr>
        <w:t>每个数据项分散在表中，位置没有一定规则。</w:t>
      </w:r>
    </w:p>
    <w:p w14:paraId="3CD29292">
      <w:pPr>
        <w:pStyle w:val="13"/>
      </w:pPr>
      <w:r>
        <w:drawing>
          <wp:inline distT="0" distB="0" distL="114300" distR="114300">
            <wp:extent cx="5334000" cy="2776855"/>
            <wp:effectExtent l="0" t="0" r="0" b="0"/>
            <wp:docPr id="4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7702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6450CB1">
      <w:pPr>
        <w:pStyle w:val="27"/>
        <w:numPr>
          <w:ilvl w:val="0"/>
          <w:numId w:val="1"/>
        </w:numPr>
      </w:pPr>
      <w:r>
        <w:rPr>
          <w:rFonts w:hint="eastAsia"/>
        </w:rPr>
        <w:t>交叉报表</w:t>
      </w:r>
    </w:p>
    <w:p w14:paraId="23A62211">
      <w:pPr>
        <w:pStyle w:val="13"/>
      </w:pPr>
      <w:r>
        <w:rPr>
          <w:rFonts w:hint="eastAsia"/>
        </w:rPr>
        <w:t>报表标题同时在上方和左边。</w:t>
      </w:r>
    </w:p>
    <w:p w14:paraId="0336DE49">
      <w:pPr>
        <w:pStyle w:val="13"/>
      </w:pPr>
      <w:r>
        <w:drawing>
          <wp:inline distT="0" distB="0" distL="114300" distR="114300">
            <wp:extent cx="5334000" cy="2792730"/>
            <wp:effectExtent l="0" t="0" r="0" b="0"/>
            <wp:docPr id="4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9280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F8181CC">
      <w:pPr>
        <w:pStyle w:val="27"/>
        <w:numPr>
          <w:ilvl w:val="0"/>
          <w:numId w:val="1"/>
        </w:numPr>
      </w:pPr>
      <w:r>
        <w:rPr>
          <w:rFonts w:hint="eastAsia"/>
        </w:rPr>
        <w:t>图表报表</w:t>
      </w:r>
    </w:p>
    <w:p w14:paraId="5F55C437">
      <w:pPr>
        <w:pStyle w:val="13"/>
      </w:pPr>
      <w:r>
        <w:drawing>
          <wp:inline distT="0" distB="0" distL="114300" distR="114300">
            <wp:extent cx="5334000" cy="2776855"/>
            <wp:effectExtent l="0" t="0" r="0" b="0"/>
            <wp:docPr id="4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7728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665AB6B7">
      <w:pPr>
        <w:pStyle w:val="5"/>
      </w:pPr>
      <w:bookmarkStart w:id="10" w:name="_Toc10857"/>
      <w:bookmarkStart w:id="11" w:name="查询条件"/>
      <w:r>
        <w:rPr>
          <w:rFonts w:hint="eastAsia"/>
        </w:rPr>
        <w:t>3.查询条件</w:t>
      </w:r>
      <w:bookmarkEnd w:id="10"/>
    </w:p>
    <w:p w14:paraId="54AEF754">
      <w:pPr>
        <w:pStyle w:val="26"/>
      </w:pPr>
      <w:r>
        <w:rPr>
          <w:rFonts w:hint="eastAsia"/>
        </w:rPr>
        <w:t>报表支持多个查询条件，一般情况，条件均在报表上方；</w:t>
      </w:r>
    </w:p>
    <w:p w14:paraId="2052C9FB">
      <w:pPr>
        <w:pStyle w:val="3"/>
      </w:pPr>
      <w:r>
        <w:drawing>
          <wp:inline distT="0" distB="0" distL="114300" distR="114300">
            <wp:extent cx="5334000" cy="1232535"/>
            <wp:effectExtent l="0" t="0" r="0" b="0"/>
            <wp:docPr id="5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3291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25CD06A">
      <w:pPr>
        <w:pStyle w:val="3"/>
      </w:pPr>
      <w:r>
        <w:rPr>
          <w:rFonts w:hint="eastAsia"/>
        </w:rPr>
        <w:t>查询条件支持如下几类：</w:t>
      </w:r>
    </w:p>
    <w:p w14:paraId="5746EA60">
      <w:pPr>
        <w:pStyle w:val="27"/>
        <w:numPr>
          <w:ilvl w:val="0"/>
          <w:numId w:val="1"/>
        </w:numPr>
      </w:pPr>
      <w:r>
        <w:rPr>
          <w:rFonts w:hint="eastAsia"/>
        </w:rPr>
        <w:t>部门：指客户所在的营业部，以树状展现出来的；</w:t>
      </w:r>
    </w:p>
    <w:p w14:paraId="01052E29">
      <w:pPr>
        <w:pStyle w:val="13"/>
      </w:pPr>
      <w:r>
        <w:rPr>
          <w:rFonts w:hint="eastAsia"/>
        </w:rPr>
        <w:t>选中需要查询的机构，点击【确定】即可；</w:t>
      </w:r>
    </w:p>
    <w:p w14:paraId="0EFB12F1">
      <w:pPr>
        <w:pStyle w:val="27"/>
        <w:numPr>
          <w:ilvl w:val="0"/>
          <w:numId w:val="1"/>
        </w:numPr>
      </w:pPr>
      <w:r>
        <w:rPr>
          <w:rFonts w:hint="eastAsia"/>
        </w:rPr>
        <w:t>报表日期选择</w:t>
      </w:r>
    </w:p>
    <w:p w14:paraId="3149C160">
      <w:pPr>
        <w:pStyle w:val="13"/>
      </w:pPr>
      <w:r>
        <w:drawing>
          <wp:inline distT="0" distB="0" distL="114300" distR="114300">
            <wp:extent cx="4762500" cy="361950"/>
            <wp:effectExtent l="0" t="0" r="0" b="0"/>
            <wp:docPr id="5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738010">
      <w:pPr>
        <w:pStyle w:val="13"/>
      </w:pPr>
      <w:r>
        <w:rPr>
          <w:rFonts w:hint="eastAsia"/>
        </w:rPr>
        <w:t>报表频度有如下选择：</w:t>
      </w:r>
    </w:p>
    <w:p w14:paraId="17601902">
      <w:pPr>
        <w:pStyle w:val="13"/>
      </w:pPr>
      <w:r>
        <w:drawing>
          <wp:inline distT="0" distB="0" distL="114300" distR="114300">
            <wp:extent cx="2505075" cy="1895475"/>
            <wp:effectExtent l="0" t="0" r="0" b="0"/>
            <wp:docPr id="5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710809">
      <w:pPr>
        <w:pStyle w:val="13"/>
      </w:pPr>
      <w:r>
        <w:rPr>
          <w:rFonts w:hint="eastAsia"/>
        </w:rPr>
        <w:t>选择”月”的时候，只查询”报表开始日期”所在月份的数据</w:t>
      </w:r>
    </w:p>
    <w:p w14:paraId="6DC6F23A">
      <w:pPr>
        <w:pStyle w:val="13"/>
      </w:pPr>
      <w:r>
        <w:rPr>
          <w:rFonts w:hint="eastAsia"/>
        </w:rPr>
        <w:t>选择”季”的时候，只查询”报表开始日期”所在季度的数据</w:t>
      </w:r>
    </w:p>
    <w:p w14:paraId="5EB90D71">
      <w:pPr>
        <w:pStyle w:val="13"/>
      </w:pPr>
      <w:r>
        <w:rPr>
          <w:rFonts w:hint="eastAsia"/>
        </w:rPr>
        <w:t>选择”半年”的时候，只查询”报表开始日期”所在半年的数据</w:t>
      </w:r>
    </w:p>
    <w:p w14:paraId="600D251F">
      <w:pPr>
        <w:pStyle w:val="13"/>
      </w:pPr>
      <w:r>
        <w:rPr>
          <w:rFonts w:hint="eastAsia"/>
        </w:rPr>
        <w:t>选择”年”的时候，只查询”报表开始日期”当年的数据</w:t>
      </w:r>
    </w:p>
    <w:p w14:paraId="3EA8D9BA">
      <w:pPr>
        <w:pStyle w:val="27"/>
        <w:numPr>
          <w:ilvl w:val="0"/>
          <w:numId w:val="1"/>
        </w:numPr>
      </w:pPr>
      <w:r>
        <w:rPr>
          <w:rFonts w:hint="eastAsia"/>
        </w:rPr>
        <w:t>其它下拉菜单</w:t>
      </w:r>
    </w:p>
    <w:p w14:paraId="5DFBF3FC">
      <w:pPr>
        <w:pStyle w:val="13"/>
      </w:pPr>
      <w:r>
        <w:rPr>
          <w:rFonts w:hint="eastAsia"/>
        </w:rPr>
        <w:t>只支持单选，只要选择其中一项即可；</w:t>
      </w:r>
    </w:p>
    <w:p w14:paraId="157F2A99">
      <w:pPr>
        <w:pStyle w:val="27"/>
        <w:numPr>
          <w:ilvl w:val="0"/>
          <w:numId w:val="1"/>
        </w:numPr>
      </w:pPr>
      <w:r>
        <w:rPr>
          <w:rFonts w:hint="eastAsia"/>
        </w:rPr>
        <w:t>输入数据</w:t>
      </w:r>
    </w:p>
    <w:p w14:paraId="35BC8DA1">
      <w:pPr>
        <w:pStyle w:val="13"/>
      </w:pPr>
      <w:r>
        <w:drawing>
          <wp:inline distT="0" distB="0" distL="114300" distR="114300">
            <wp:extent cx="2428875" cy="371475"/>
            <wp:effectExtent l="0" t="0" r="0" b="0"/>
            <wp:docPr id="6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5675DC">
      <w:pPr>
        <w:pStyle w:val="13"/>
      </w:pPr>
      <w:r>
        <w:rPr>
          <w:rFonts w:hint="eastAsia"/>
        </w:rPr>
        <w:t>如果需要限定某一个客户的数据，此时需要输入某个投资者代码。</w:t>
      </w:r>
    </w:p>
    <w:p w14:paraId="2B36E7FD">
      <w:pPr>
        <w:pStyle w:val="27"/>
        <w:numPr>
          <w:ilvl w:val="0"/>
          <w:numId w:val="1"/>
        </w:numPr>
      </w:pPr>
      <w:r>
        <w:rPr>
          <w:rFonts w:hint="eastAsia"/>
        </w:rPr>
        <w:t>默认参数</w:t>
      </w:r>
    </w:p>
    <w:p w14:paraId="3DC57930">
      <w:pPr>
        <w:pStyle w:val="13"/>
      </w:pPr>
      <w:r>
        <w:rPr>
          <w:rFonts w:hint="eastAsia"/>
        </w:rPr>
        <w:t>目前，有如下两个默认参数可能参与报表查询，这些都在开设用户信息的时候进行了设置；</w:t>
      </w:r>
    </w:p>
    <w:p w14:paraId="7DA4C41D">
      <w:pPr>
        <w:numPr>
          <w:ilvl w:val="0"/>
          <w:numId w:val="1"/>
        </w:numPr>
      </w:pPr>
      <w:r>
        <w:rPr>
          <w:rFonts w:hint="eastAsia"/>
        </w:rPr>
        <w:t>用户归属部门：限制用户只能查看自己归属部门的数据；</w:t>
      </w:r>
    </w:p>
    <w:p w14:paraId="34F51B63">
      <w:pPr>
        <w:numPr>
          <w:ilvl w:val="0"/>
          <w:numId w:val="1"/>
        </w:numPr>
      </w:pPr>
      <w:r>
        <w:rPr>
          <w:rFonts w:hint="eastAsia"/>
        </w:rPr>
        <w:t>用户报表数据类型：限制了用户查看数据的统计口径。</w:t>
      </w:r>
    </w:p>
    <w:p w14:paraId="11185E06">
      <w:pPr>
        <w:pStyle w:val="13"/>
      </w:pPr>
      <w:r>
        <w:rPr>
          <w:rFonts w:hint="eastAsia"/>
          <w:b/>
          <w:bCs/>
        </w:rPr>
        <w:t>统计口径分两类：原始指用户看到的客户归属是与交易系统设置的一致；实际则指为了管理需要，将客户的归属进行了调整，用户进入系统查看的报表是调整后的统计口径。</w:t>
      </w:r>
    </w:p>
    <w:bookmarkEnd w:id="11"/>
    <w:p w14:paraId="001224CC">
      <w:pPr>
        <w:pStyle w:val="5"/>
      </w:pPr>
      <w:bookmarkStart w:id="12" w:name="_Toc4195"/>
      <w:bookmarkStart w:id="13" w:name="分页规则"/>
      <w:r>
        <w:rPr>
          <w:rFonts w:hint="eastAsia"/>
        </w:rPr>
        <w:t>4.分页规则</w:t>
      </w:r>
      <w:bookmarkEnd w:id="12"/>
    </w:p>
    <w:p w14:paraId="4F62CC2B">
      <w:pPr>
        <w:pStyle w:val="26"/>
      </w:pPr>
      <w:r>
        <w:rPr>
          <w:rFonts w:hint="eastAsia"/>
        </w:rPr>
        <w:t>系统报表默认每页显示50行数据，每次查询会单独拿出当页的数据，都会向服务器发送一次请求获取数据。</w:t>
      </w:r>
    </w:p>
    <w:p w14:paraId="0C27715B">
      <w:pPr>
        <w:pStyle w:val="3"/>
      </w:pPr>
      <w:r>
        <w:rPr>
          <w:rFonts w:hint="eastAsia"/>
        </w:rPr>
        <w:t>行列式报表会在报表右下角显示，总行数及当前页等信息。</w:t>
      </w:r>
    </w:p>
    <w:p w14:paraId="028B29A8">
      <w:pPr>
        <w:pStyle w:val="3"/>
      </w:pPr>
      <w:r>
        <w:drawing>
          <wp:inline distT="0" distB="0" distL="114300" distR="114300">
            <wp:extent cx="4942205" cy="351790"/>
            <wp:effectExtent l="0" t="0" r="0" b="0"/>
            <wp:docPr id="6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42799" cy="35237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3"/>
    <w:p w14:paraId="6EA83620">
      <w:pPr>
        <w:pStyle w:val="5"/>
      </w:pPr>
      <w:bookmarkStart w:id="14" w:name="_Toc23335"/>
      <w:bookmarkStart w:id="15" w:name="报表操作"/>
      <w:r>
        <w:rPr>
          <w:rFonts w:hint="eastAsia"/>
        </w:rPr>
        <w:t>5.报表操作</w:t>
      </w:r>
      <w:bookmarkEnd w:id="14"/>
    </w:p>
    <w:p w14:paraId="653F7718">
      <w:pPr>
        <w:numPr>
          <w:ilvl w:val="0"/>
          <w:numId w:val="1"/>
        </w:numPr>
      </w:pPr>
      <w:r>
        <w:rPr>
          <w:rFonts w:hint="eastAsia"/>
        </w:rPr>
        <w:t>筛选条件的收起与展开：</w:t>
      </w:r>
    </w:p>
    <w:p w14:paraId="2ACFECFE">
      <w:pPr>
        <w:numPr>
          <w:ilvl w:val="0"/>
          <w:numId w:val="1"/>
        </w:numPr>
      </w:pPr>
      <w:r>
        <w:rPr>
          <w:rFonts w:hint="eastAsia"/>
        </w:rPr>
        <w:t>展示列的排序，是否展示，冻结：</w:t>
      </w:r>
    </w:p>
    <w:p w14:paraId="2EA9E118">
      <w:pPr>
        <w:numPr>
          <w:ilvl w:val="0"/>
          <w:numId w:val="1"/>
        </w:numPr>
      </w:pPr>
      <w:r>
        <w:rPr>
          <w:rFonts w:hint="eastAsia"/>
        </w:rPr>
        <w:t>字段的复制：</w:t>
      </w:r>
    </w:p>
    <w:p w14:paraId="0F9F3C94">
      <w:pPr>
        <w:numPr>
          <w:ilvl w:val="0"/>
          <w:numId w:val="1"/>
        </w:numPr>
      </w:pPr>
      <w:r>
        <w:rPr>
          <w:rFonts w:hint="eastAsia"/>
        </w:rPr>
        <w:t>导出：直接点击报表查询框旁边的【导出】按钮即可导出Excel文件。</w:t>
      </w:r>
    </w:p>
    <w:p w14:paraId="5938DA7B">
      <w:pPr>
        <w:pStyle w:val="26"/>
      </w:pPr>
      <w:r>
        <w:drawing>
          <wp:inline distT="0" distB="0" distL="114300" distR="114300">
            <wp:extent cx="2685415" cy="447040"/>
            <wp:effectExtent l="0" t="0" r="0" b="0"/>
            <wp:docPr id="6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85599" cy="44759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p w14:paraId="5F7C237C">
      <w:pPr>
        <w:pStyle w:val="5"/>
      </w:pPr>
      <w:bookmarkStart w:id="16" w:name="_Toc32372"/>
      <w:bookmarkStart w:id="17" w:name="部分名词解释公式"/>
      <w:r>
        <w:rPr>
          <w:rFonts w:hint="eastAsia"/>
        </w:rPr>
        <w:t>6.部分名词解释&amp;公式</w:t>
      </w:r>
      <w:bookmarkEnd w:id="16"/>
    </w:p>
    <w:p w14:paraId="426676D9">
      <w:pPr>
        <w:pStyle w:val="6"/>
      </w:pPr>
      <w:bookmarkStart w:id="18" w:name="总体资金情况"/>
      <w:r>
        <w:rPr>
          <w:rFonts w:hint="eastAsia"/>
        </w:rPr>
        <w:t>1）总体资金情况</w:t>
      </w:r>
    </w:p>
    <w:p w14:paraId="1B07E07A">
      <w:pPr>
        <w:numPr>
          <w:ilvl w:val="0"/>
          <w:numId w:val="1"/>
        </w:numPr>
      </w:pPr>
      <w:r>
        <w:rPr>
          <w:rFonts w:hint="eastAsia"/>
        </w:rPr>
        <w:t>当日结存（逐日）=上日结存＋当日出入金－总手续费+总盈亏＋当日权利金收支</w:t>
      </w:r>
    </w:p>
    <w:p w14:paraId="3C1B8206">
      <w:pPr>
        <w:numPr>
          <w:ilvl w:val="0"/>
          <w:numId w:val="1"/>
        </w:numPr>
      </w:pPr>
      <w:r>
        <w:rPr>
          <w:rFonts w:hint="eastAsia"/>
        </w:rPr>
        <w:t>客户权益=当日结存（逐日）+当日质押金额</w:t>
      </w:r>
    </w:p>
    <w:p w14:paraId="7DB1F764">
      <w:pPr>
        <w:numPr>
          <w:ilvl w:val="0"/>
          <w:numId w:val="1"/>
        </w:numPr>
      </w:pPr>
      <w:r>
        <w:rPr>
          <w:rFonts w:hint="eastAsia"/>
        </w:rPr>
        <w:t>可用资金=客户权益-保证金-冻结资金</w:t>
      </w:r>
    </w:p>
    <w:p w14:paraId="288E3271">
      <w:pPr>
        <w:numPr>
          <w:ilvl w:val="0"/>
          <w:numId w:val="1"/>
        </w:numPr>
      </w:pPr>
      <w:r>
        <w:rPr>
          <w:rFonts w:hint="eastAsia"/>
        </w:rPr>
        <w:t>当日出入金（净出入金）=今日入金-今日出金</w:t>
      </w:r>
    </w:p>
    <w:p w14:paraId="1D8CF2FA">
      <w:pPr>
        <w:numPr>
          <w:ilvl w:val="0"/>
          <w:numId w:val="1"/>
        </w:numPr>
      </w:pPr>
      <w:r>
        <w:rPr>
          <w:rFonts w:hint="eastAsia"/>
        </w:rPr>
        <w:t>可提资金=客户权益-保证金-质押-冻结资金</w:t>
      </w:r>
    </w:p>
    <w:p w14:paraId="4E70839A">
      <w:pPr>
        <w:numPr>
          <w:ilvl w:val="0"/>
          <w:numId w:val="1"/>
        </w:numPr>
      </w:pPr>
      <w:r>
        <w:rPr>
          <w:rFonts w:hint="eastAsia"/>
        </w:rPr>
        <w:t>期权市值=期权买方市值－期权卖方市值</w:t>
      </w:r>
    </w:p>
    <w:p w14:paraId="3F0C48ED">
      <w:pPr>
        <w:numPr>
          <w:ilvl w:val="0"/>
          <w:numId w:val="1"/>
        </w:numPr>
      </w:pPr>
      <w:r>
        <w:rPr>
          <w:rFonts w:hint="eastAsia"/>
        </w:rPr>
        <w:t>期权买方市值＝∑（期权合约最新价×每手数量×买方合约持仓数量）</w:t>
      </w:r>
    </w:p>
    <w:p w14:paraId="593E53CA">
      <w:pPr>
        <w:numPr>
          <w:ilvl w:val="0"/>
          <w:numId w:val="1"/>
        </w:numPr>
      </w:pPr>
      <w:r>
        <w:rPr>
          <w:rFonts w:hint="eastAsia"/>
        </w:rPr>
        <w:t>期权卖方市值＝∑（期权合约最新价×每手数量×卖方合约持仓数量）</w:t>
      </w:r>
    </w:p>
    <w:p w14:paraId="333D3826">
      <w:pPr>
        <w:numPr>
          <w:ilvl w:val="0"/>
          <w:numId w:val="1"/>
        </w:numPr>
      </w:pPr>
      <w:r>
        <w:rPr>
          <w:rFonts w:hint="eastAsia"/>
        </w:rPr>
        <w:t>客户市值权益=客户权益+期权市值</w:t>
      </w:r>
    </w:p>
    <w:p w14:paraId="389D8EE8">
      <w:pPr>
        <w:numPr>
          <w:ilvl w:val="0"/>
          <w:numId w:val="1"/>
        </w:numPr>
      </w:pPr>
      <w:r>
        <w:rPr>
          <w:rFonts w:hint="eastAsia"/>
        </w:rPr>
        <w:t>权利金=期权合约成交价格×合约乘数×手数</w:t>
      </w:r>
    </w:p>
    <w:p w14:paraId="16661931">
      <w:pPr>
        <w:numPr>
          <w:ilvl w:val="0"/>
          <w:numId w:val="1"/>
        </w:numPr>
      </w:pPr>
      <w:r>
        <w:rPr>
          <w:rFonts w:hint="eastAsia"/>
        </w:rPr>
        <w:t>期权权利金收入：期权卖方收入权利金</w:t>
      </w:r>
    </w:p>
    <w:p w14:paraId="21CA15DB">
      <w:pPr>
        <w:numPr>
          <w:ilvl w:val="0"/>
          <w:numId w:val="1"/>
        </w:numPr>
      </w:pPr>
      <w:r>
        <w:rPr>
          <w:rFonts w:hint="eastAsia"/>
        </w:rPr>
        <w:t>期权权利金支出：期权买方支出权利金</w:t>
      </w:r>
    </w:p>
    <w:p w14:paraId="6ABDFEA8">
      <w:pPr>
        <w:numPr>
          <w:ilvl w:val="0"/>
          <w:numId w:val="1"/>
        </w:numPr>
      </w:pPr>
      <w:r>
        <w:rPr>
          <w:rFonts w:hint="eastAsia"/>
        </w:rPr>
        <w:t>权利金收支=期权权利金收入</w:t>
      </w:r>
      <w:r>
        <w:t xml:space="preserve"> - </w:t>
      </w:r>
      <w:r>
        <w:rPr>
          <w:rFonts w:hint="eastAsia"/>
        </w:rPr>
        <w:t>期权权利金支出</w:t>
      </w:r>
    </w:p>
    <w:bookmarkEnd w:id="18"/>
    <w:p w14:paraId="11ADF1BF">
      <w:pPr>
        <w:pStyle w:val="6"/>
      </w:pPr>
      <w:bookmarkStart w:id="19" w:name="手续费盈亏"/>
      <w:r>
        <w:rPr>
          <w:rFonts w:hint="eastAsia"/>
        </w:rPr>
        <w:t>2）手续费&amp;盈亏</w:t>
      </w:r>
    </w:p>
    <w:p w14:paraId="3CE986B2">
      <w:pPr>
        <w:pStyle w:val="27"/>
        <w:numPr>
          <w:ilvl w:val="0"/>
          <w:numId w:val="1"/>
        </w:numPr>
      </w:pPr>
      <w:r>
        <w:rPr>
          <w:rFonts w:hint="eastAsia"/>
        </w:rPr>
        <w:t>（总）手续费</w:t>
      </w:r>
    </w:p>
    <w:p w14:paraId="5FE881FC">
      <w:pPr>
        <w:pStyle w:val="13"/>
      </w:pPr>
      <w:r>
        <w:rPr>
          <w:rFonts w:hint="eastAsia"/>
        </w:rPr>
        <w:t>=上交手续费+留存手续费</w:t>
      </w:r>
    </w:p>
    <w:p w14:paraId="41AEA2B9">
      <w:pPr>
        <w:pStyle w:val="13"/>
      </w:pPr>
      <w:r>
        <w:rPr>
          <w:rFonts w:hint="eastAsia"/>
        </w:rPr>
        <w:t>=交易手续费+交割手续费+行权手续费+履约手续费</w:t>
      </w:r>
    </w:p>
    <w:p w14:paraId="3B42454A">
      <w:pPr>
        <w:numPr>
          <w:ilvl w:val="0"/>
          <w:numId w:val="1"/>
        </w:numPr>
      </w:pPr>
      <w:r>
        <w:rPr>
          <w:rFonts w:hint="eastAsia"/>
        </w:rPr>
        <w:t>交易手续费：含开仓手续费、平仓手续费、平今手续费；</w:t>
      </w:r>
    </w:p>
    <w:p w14:paraId="60DAE4BE">
      <w:pPr>
        <w:numPr>
          <w:ilvl w:val="0"/>
          <w:numId w:val="1"/>
        </w:numPr>
      </w:pPr>
      <w:r>
        <w:rPr>
          <w:rFonts w:hint="eastAsia"/>
        </w:rPr>
        <w:t>交割手续费：期货交割产生的费用；</w:t>
      </w:r>
    </w:p>
    <w:p w14:paraId="6C2CBCA5">
      <w:pPr>
        <w:numPr>
          <w:ilvl w:val="0"/>
          <w:numId w:val="1"/>
        </w:numPr>
      </w:pPr>
      <w:r>
        <w:rPr>
          <w:rFonts w:hint="eastAsia"/>
        </w:rPr>
        <w:t>行权手续费：期权买方提交行权申请需收取的费用；</w:t>
      </w:r>
    </w:p>
    <w:p w14:paraId="5E38CA8F">
      <w:pPr>
        <w:numPr>
          <w:ilvl w:val="0"/>
          <w:numId w:val="1"/>
        </w:numPr>
      </w:pPr>
      <w:r>
        <w:rPr>
          <w:rFonts w:hint="eastAsia"/>
        </w:rPr>
        <w:t>履约手续费：期权卖方履约配对需要收取的费用；</w:t>
      </w:r>
    </w:p>
    <w:p w14:paraId="6F891980">
      <w:pPr>
        <w:pStyle w:val="13"/>
      </w:pPr>
      <w:r>
        <w:rPr>
          <w:rFonts w:hint="eastAsia"/>
        </w:rPr>
        <w:t>如上各项手续费，均为期货公司收取投资者的手续费，其中已经包含了投资者保障基金；</w:t>
      </w:r>
    </w:p>
    <w:p w14:paraId="0E4827BC">
      <w:pPr>
        <w:pStyle w:val="27"/>
        <w:numPr>
          <w:ilvl w:val="0"/>
          <w:numId w:val="1"/>
        </w:numPr>
      </w:pPr>
      <w:r>
        <w:rPr>
          <w:rFonts w:hint="eastAsia"/>
        </w:rPr>
        <w:t>上交手续费=上交交易手续费+上交交割手续费+上交行权手续费+上交履约手续费</w:t>
      </w:r>
    </w:p>
    <w:p w14:paraId="01ABB3BA">
      <w:pPr>
        <w:pStyle w:val="13"/>
      </w:pPr>
      <w:r>
        <w:rPr>
          <w:rFonts w:hint="eastAsia"/>
        </w:rPr>
        <w:t>上交手续费，意为期货公司上交给各交易所的费用；</w:t>
      </w:r>
    </w:p>
    <w:p w14:paraId="64152DBC">
      <w:pPr>
        <w:pStyle w:val="27"/>
        <w:numPr>
          <w:ilvl w:val="0"/>
          <w:numId w:val="1"/>
        </w:numPr>
      </w:pPr>
      <w:r>
        <w:rPr>
          <w:rFonts w:hint="eastAsia"/>
        </w:rPr>
        <w:t>留存手续费</w:t>
      </w:r>
      <w:r>
        <w:t xml:space="preserve"> </w:t>
      </w:r>
      <w:r>
        <w:rPr>
          <w:rFonts w:hint="eastAsia"/>
        </w:rPr>
        <w:t>=（总）手续费-上交手续费</w:t>
      </w:r>
    </w:p>
    <w:p w14:paraId="5AF8B913">
      <w:pPr>
        <w:pStyle w:val="13"/>
      </w:pPr>
      <w:r>
        <w:t xml:space="preserve">= </w:t>
      </w:r>
      <w:r>
        <w:rPr>
          <w:rFonts w:hint="eastAsia"/>
        </w:rPr>
        <w:t>留存交易手续费</w:t>
      </w:r>
      <w:r>
        <w:t xml:space="preserve"> + </w:t>
      </w:r>
      <w:r>
        <w:rPr>
          <w:rFonts w:hint="eastAsia"/>
        </w:rPr>
        <w:t>留存交割手续费</w:t>
      </w:r>
      <w:r>
        <w:t xml:space="preserve"> + </w:t>
      </w:r>
      <w:r>
        <w:rPr>
          <w:rFonts w:hint="eastAsia"/>
        </w:rPr>
        <w:t>留存行权（&amp;履约）手续费</w:t>
      </w:r>
    </w:p>
    <w:p w14:paraId="608B1A2B">
      <w:pPr>
        <w:pStyle w:val="27"/>
        <w:numPr>
          <w:ilvl w:val="0"/>
          <w:numId w:val="1"/>
        </w:numPr>
      </w:pPr>
      <w:r>
        <w:rPr>
          <w:rFonts w:hint="eastAsia"/>
        </w:rPr>
        <w:t>投资者保障基金：由期货公司代收、上交给投资者保障基金协会的专项费用；</w:t>
      </w:r>
    </w:p>
    <w:p w14:paraId="70431090">
      <w:pPr>
        <w:numPr>
          <w:ilvl w:val="0"/>
          <w:numId w:val="1"/>
        </w:numPr>
      </w:pPr>
      <w:r>
        <w:rPr>
          <w:rFonts w:hint="eastAsia"/>
        </w:rPr>
        <w:t>一般包含在交易手续费、交割手续费和行权手续费中；</w:t>
      </w:r>
    </w:p>
    <w:p w14:paraId="5ACF4662">
      <w:pPr>
        <w:numPr>
          <w:ilvl w:val="0"/>
          <w:numId w:val="1"/>
        </w:numPr>
      </w:pPr>
      <w:r>
        <w:rPr>
          <w:rFonts w:hint="eastAsia"/>
        </w:rPr>
        <w:t>留存手续费，其中包含了投资者保障基金；</w:t>
      </w:r>
    </w:p>
    <w:p w14:paraId="330791EB">
      <w:pPr>
        <w:numPr>
          <w:ilvl w:val="0"/>
          <w:numId w:val="1"/>
        </w:numPr>
      </w:pPr>
      <w:r>
        <w:rPr>
          <w:rFonts w:hint="eastAsia"/>
        </w:rPr>
        <w:t>总净留存</w:t>
      </w:r>
      <w:r>
        <w:t xml:space="preserve"> = </w:t>
      </w:r>
      <w:r>
        <w:rPr>
          <w:rFonts w:hint="eastAsia"/>
        </w:rPr>
        <w:t>留存手续费</w:t>
      </w:r>
      <w:r>
        <w:t xml:space="preserve"> - </w:t>
      </w:r>
      <w:r>
        <w:rPr>
          <w:rFonts w:hint="eastAsia"/>
        </w:rPr>
        <w:t>投资者保障基金</w:t>
      </w:r>
    </w:p>
    <w:p w14:paraId="209E638D">
      <w:pPr>
        <w:numPr>
          <w:ilvl w:val="0"/>
          <w:numId w:val="1"/>
        </w:numPr>
      </w:pPr>
      <w:r>
        <w:rPr>
          <w:rFonts w:hint="eastAsia"/>
        </w:rPr>
        <w:t>净留存手续费</w:t>
      </w:r>
      <w:r>
        <w:t xml:space="preserve"> = </w:t>
      </w:r>
      <w:r>
        <w:rPr>
          <w:rFonts w:hint="eastAsia"/>
        </w:rPr>
        <w:t>留存手续费-</w:t>
      </w:r>
      <w:r>
        <w:t xml:space="preserve"> </w:t>
      </w:r>
      <w:r>
        <w:rPr>
          <w:rFonts w:hint="eastAsia"/>
        </w:rPr>
        <w:t>投资者保障基金</w:t>
      </w:r>
      <w:r>
        <w:t xml:space="preserve"> - </w:t>
      </w:r>
      <w:r>
        <w:rPr>
          <w:rFonts w:hint="eastAsia"/>
        </w:rPr>
        <w:t>返佣</w:t>
      </w:r>
    </w:p>
    <w:p w14:paraId="20B823E2">
      <w:pPr>
        <w:numPr>
          <w:ilvl w:val="0"/>
          <w:numId w:val="1"/>
        </w:numPr>
      </w:pPr>
      <w:r>
        <w:rPr>
          <w:rFonts w:hint="eastAsia"/>
        </w:rPr>
        <w:t>总盈亏</w:t>
      </w:r>
      <w:r>
        <w:t xml:space="preserve"> = </w:t>
      </w:r>
      <w:r>
        <w:rPr>
          <w:rFonts w:hint="eastAsia"/>
        </w:rPr>
        <w:t>持仓盈亏（逐日）+平仓盈亏（逐日）+期权执行盈亏</w:t>
      </w:r>
    </w:p>
    <w:p w14:paraId="030C7A5F">
      <w:pPr>
        <w:numPr>
          <w:ilvl w:val="0"/>
          <w:numId w:val="1"/>
        </w:numPr>
      </w:pPr>
      <w:r>
        <w:rPr>
          <w:rFonts w:hint="eastAsia"/>
        </w:rPr>
        <w:t>持仓盈亏（逐日）、平仓盈亏（逐日）：仅期货使用；</w:t>
      </w:r>
    </w:p>
    <w:p w14:paraId="139BA551">
      <w:pPr>
        <w:numPr>
          <w:ilvl w:val="0"/>
          <w:numId w:val="1"/>
        </w:numPr>
      </w:pPr>
      <w:r>
        <w:rPr>
          <w:rFonts w:hint="eastAsia"/>
        </w:rPr>
        <w:t>期权执行盈亏：现金交割类型的期权品种（比如，沪深300股指期权IO），在最后交易日以标的结算价计算期权合约的执行盈亏，直接以现金结转给投资者；</w:t>
      </w:r>
    </w:p>
    <w:p w14:paraId="017F27A9">
      <w:pPr>
        <w:pStyle w:val="27"/>
        <w:numPr>
          <w:ilvl w:val="0"/>
          <w:numId w:val="1"/>
        </w:numPr>
      </w:pPr>
      <w:r>
        <w:rPr>
          <w:rFonts w:hint="eastAsia"/>
        </w:rPr>
        <w:t>纯利/净盈亏</w:t>
      </w:r>
      <w:r>
        <w:t xml:space="preserve"> = </w:t>
      </w:r>
      <w:r>
        <w:rPr>
          <w:rFonts w:hint="eastAsia"/>
        </w:rPr>
        <w:t>总盈亏</w:t>
      </w:r>
      <w:r>
        <w:t xml:space="preserve"> - </w:t>
      </w:r>
      <w:r>
        <w:rPr>
          <w:rFonts w:hint="eastAsia"/>
        </w:rPr>
        <w:t>总手续费</w:t>
      </w:r>
    </w:p>
    <w:bookmarkEnd w:id="19"/>
    <w:p w14:paraId="2F187696">
      <w:pPr>
        <w:pStyle w:val="6"/>
      </w:pPr>
      <w:bookmarkStart w:id="20" w:name="保证金"/>
      <w:r>
        <w:rPr>
          <w:rFonts w:hint="eastAsia"/>
        </w:rPr>
        <w:t>3）保证金</w:t>
      </w:r>
    </w:p>
    <w:p w14:paraId="3119136F">
      <w:pPr>
        <w:numPr>
          <w:ilvl w:val="0"/>
          <w:numId w:val="1"/>
        </w:numPr>
      </w:pPr>
      <w:r>
        <w:rPr>
          <w:rFonts w:hint="eastAsia"/>
        </w:rPr>
        <w:t>保证金=当日客户的持仓保证金+交割保证金</w:t>
      </w:r>
    </w:p>
    <w:p w14:paraId="714FE899">
      <w:pPr>
        <w:numPr>
          <w:ilvl w:val="0"/>
          <w:numId w:val="1"/>
        </w:numPr>
      </w:pPr>
      <w:r>
        <w:rPr>
          <w:rFonts w:hint="eastAsia"/>
        </w:rPr>
        <w:t>公司保证金=当日客户的公司持仓保证金+公司交割保证金</w:t>
      </w:r>
    </w:p>
    <w:p w14:paraId="6B255BE9">
      <w:pPr>
        <w:numPr>
          <w:ilvl w:val="0"/>
          <w:numId w:val="1"/>
        </w:numPr>
      </w:pPr>
      <w:r>
        <w:rPr>
          <w:rFonts w:hint="eastAsia"/>
        </w:rPr>
        <w:t>交易所保证金=当日客户的交易所持仓保证金+交易所交割保证金</w:t>
      </w:r>
    </w:p>
    <w:p w14:paraId="07A304C1">
      <w:pPr>
        <w:numPr>
          <w:ilvl w:val="0"/>
          <w:numId w:val="1"/>
        </w:numPr>
      </w:pPr>
      <w:r>
        <w:rPr>
          <w:rFonts w:hint="eastAsia"/>
        </w:rPr>
        <w:t>交易所保证金</w:t>
      </w:r>
      <w:r>
        <w:t xml:space="preserve"> </w:t>
      </w:r>
      <w:r>
        <w:rPr>
          <w:rFonts w:hint="eastAsia"/>
        </w:rPr>
        <w:t>&lt;=公司保证金</w:t>
      </w:r>
    </w:p>
    <w:bookmarkEnd w:id="20"/>
    <w:p w14:paraId="45A3838A">
      <w:pPr>
        <w:pStyle w:val="6"/>
      </w:pPr>
      <w:bookmarkStart w:id="21" w:name="风险度"/>
      <w:r>
        <w:rPr>
          <w:rFonts w:hint="eastAsia"/>
        </w:rPr>
        <w:t>4）风险度</w:t>
      </w:r>
    </w:p>
    <w:p w14:paraId="0C52A2D0">
      <w:pPr>
        <w:numPr>
          <w:ilvl w:val="0"/>
          <w:numId w:val="1"/>
        </w:numPr>
      </w:pPr>
      <w:r>
        <w:rPr>
          <w:rFonts w:hint="eastAsia"/>
        </w:rPr>
        <w:t>穿仓：客户权益为负</w:t>
      </w:r>
    </w:p>
    <w:p w14:paraId="66117965">
      <w:pPr>
        <w:numPr>
          <w:ilvl w:val="0"/>
          <w:numId w:val="1"/>
        </w:numPr>
      </w:pPr>
      <w:r>
        <w:rPr>
          <w:rFonts w:hint="eastAsia"/>
        </w:rPr>
        <w:t>强平状态：交易所保证金-客户权益&gt;0</w:t>
      </w:r>
      <w:r>
        <w:t xml:space="preserve"> </w:t>
      </w:r>
      <w:r>
        <w:rPr>
          <w:rFonts w:hint="eastAsia"/>
        </w:rPr>
        <w:t>and交易所保证金&gt;0</w:t>
      </w:r>
    </w:p>
    <w:p w14:paraId="073F5009">
      <w:pPr>
        <w:numPr>
          <w:ilvl w:val="0"/>
          <w:numId w:val="1"/>
        </w:numPr>
      </w:pPr>
      <w:r>
        <w:rPr>
          <w:rFonts w:hint="eastAsia"/>
        </w:rPr>
        <w:t>追保状态：公司保证金&gt;客户权益&gt;=交易所保证金</w:t>
      </w:r>
      <w:r>
        <w:t xml:space="preserve"> </w:t>
      </w:r>
      <w:r>
        <w:rPr>
          <w:rFonts w:hint="eastAsia"/>
        </w:rPr>
        <w:t>and交易所保证金&gt;0</w:t>
      </w:r>
    </w:p>
    <w:p w14:paraId="5A33ECBF">
      <w:pPr>
        <w:numPr>
          <w:ilvl w:val="0"/>
          <w:numId w:val="1"/>
        </w:numPr>
      </w:pPr>
      <w:r>
        <w:rPr>
          <w:rFonts w:hint="eastAsia"/>
        </w:rPr>
        <w:t>追加保证金=</w:t>
      </w:r>
      <w:r>
        <w:t xml:space="preserve"> </w:t>
      </w:r>
      <w:r>
        <w:rPr>
          <w:rFonts w:hint="eastAsia"/>
        </w:rPr>
        <w:t>if(公司保证金-客户权益&gt;0</w:t>
      </w:r>
      <w:r>
        <w:t xml:space="preserve"> </w:t>
      </w:r>
      <w:r>
        <w:rPr>
          <w:rFonts w:hint="eastAsia"/>
        </w:rPr>
        <w:t>and公司保证金&gt;0)</w:t>
      </w:r>
      <w:r>
        <w:t xml:space="preserve"> then </w:t>
      </w:r>
      <w:r>
        <w:rPr>
          <w:rFonts w:hint="eastAsia"/>
        </w:rPr>
        <w:t>公司保证金-客户权益</w:t>
      </w:r>
    </w:p>
    <w:p w14:paraId="3859F5B6">
      <w:pPr>
        <w:numPr>
          <w:ilvl w:val="0"/>
          <w:numId w:val="1"/>
        </w:numPr>
      </w:pPr>
      <w:r>
        <w:rPr>
          <w:rFonts w:hint="eastAsia"/>
        </w:rPr>
        <w:t>风险度1·公司风险度：公司保证金/客户权益</w:t>
      </w:r>
    </w:p>
    <w:p w14:paraId="2E6D81BF">
      <w:pPr>
        <w:numPr>
          <w:ilvl w:val="0"/>
          <w:numId w:val="1"/>
        </w:numPr>
      </w:pPr>
      <w:r>
        <w:rPr>
          <w:rFonts w:hint="eastAsia"/>
        </w:rPr>
        <w:t>风险度2·交易所风险度：交易所保证金/客户权益</w:t>
      </w:r>
    </w:p>
    <w:bookmarkEnd w:id="21"/>
    <w:p w14:paraId="2E7ED8C6">
      <w:pPr>
        <w:pStyle w:val="6"/>
      </w:pPr>
      <w:bookmarkStart w:id="22" w:name="其他"/>
      <w:r>
        <w:rPr>
          <w:rFonts w:hint="eastAsia"/>
        </w:rPr>
        <w:t>5）其他</w:t>
      </w:r>
    </w:p>
    <w:p w14:paraId="1C83706A">
      <w:pPr>
        <w:numPr>
          <w:ilvl w:val="0"/>
          <w:numId w:val="1"/>
        </w:numPr>
      </w:pPr>
      <w:r>
        <w:rPr>
          <w:rFonts w:hint="eastAsia"/>
        </w:rPr>
        <w:t>原始归属：投资者在业务系统中所归属营业部</w:t>
      </w:r>
    </w:p>
    <w:p w14:paraId="696C18C2">
      <w:pPr>
        <w:numPr>
          <w:ilvl w:val="0"/>
          <w:numId w:val="1"/>
        </w:numPr>
      </w:pPr>
      <w:r>
        <w:rPr>
          <w:rFonts w:hint="eastAsia"/>
        </w:rPr>
        <w:t>实际归属：投资者在内部管理中业绩实际归属营业部</w:t>
      </w:r>
    </w:p>
    <w:p w14:paraId="7A618A61">
      <w:pPr>
        <w:numPr>
          <w:ilvl w:val="0"/>
          <w:numId w:val="1"/>
        </w:numPr>
      </w:pPr>
      <w:r>
        <w:rPr>
          <w:rFonts w:hint="eastAsia"/>
        </w:rPr>
        <w:t>有交易客户：统计期内有持仓或有成交或者交割</w:t>
      </w:r>
    </w:p>
    <w:p w14:paraId="5E768DAC">
      <w:pPr>
        <w:numPr>
          <w:ilvl w:val="0"/>
          <w:numId w:val="1"/>
        </w:numPr>
      </w:pPr>
      <w:r>
        <w:rPr>
          <w:rFonts w:hint="eastAsia"/>
        </w:rPr>
        <w:t>自然天数：统计期内的自然日天数</w:t>
      </w:r>
    </w:p>
    <w:p w14:paraId="4C227434">
      <w:pPr>
        <w:numPr>
          <w:ilvl w:val="0"/>
          <w:numId w:val="1"/>
        </w:numPr>
      </w:pPr>
      <w:r>
        <w:rPr>
          <w:rFonts w:hint="eastAsia"/>
        </w:rPr>
        <w:t>交易天数：统计期内的交易日天数</w:t>
      </w:r>
    </w:p>
    <w:p w14:paraId="3F0A5A51">
      <w:pPr>
        <w:numPr>
          <w:ilvl w:val="0"/>
          <w:numId w:val="1"/>
        </w:numPr>
      </w:pPr>
      <w:r>
        <w:rPr>
          <w:rFonts w:hint="eastAsia"/>
        </w:rPr>
        <w:t>日均权益=AVG(每日期末权益)</w:t>
      </w:r>
      <w:r>
        <w:t xml:space="preserve"> = </w:t>
      </w:r>
      <w:r>
        <w:rPr>
          <w:rFonts w:hint="eastAsia"/>
        </w:rPr>
        <w:t>统计期内每交易日的期末权益之和</w:t>
      </w:r>
      <w:r>
        <w:t xml:space="preserve"> / </w:t>
      </w:r>
      <w:r>
        <w:rPr>
          <w:rFonts w:hint="eastAsia"/>
        </w:rPr>
        <w:t>交易天数</w:t>
      </w:r>
    </w:p>
    <w:p w14:paraId="5CEDB1DF">
      <w:pPr>
        <w:numPr>
          <w:ilvl w:val="0"/>
          <w:numId w:val="1"/>
        </w:numPr>
      </w:pPr>
      <w:r>
        <w:rPr>
          <w:rFonts w:hint="eastAsia"/>
        </w:rPr>
        <w:t>日均权益（自然日）=</w:t>
      </w:r>
      <w:r>
        <w:t xml:space="preserve"> </w:t>
      </w:r>
      <w:r>
        <w:rPr>
          <w:rFonts w:hint="eastAsia"/>
        </w:rPr>
        <w:t>统计期内累计期末权益</w:t>
      </w:r>
      <w:r>
        <w:t xml:space="preserve"> / </w:t>
      </w:r>
      <w:r>
        <w:rPr>
          <w:rFonts w:hint="eastAsia"/>
        </w:rPr>
        <w:t>自然天数</w:t>
      </w:r>
    </w:p>
    <w:p w14:paraId="0F759597">
      <w:pPr>
        <w:pStyle w:val="27"/>
        <w:numPr>
          <w:ilvl w:val="0"/>
          <w:numId w:val="1"/>
        </w:numPr>
      </w:pPr>
      <w:r>
        <w:rPr>
          <w:rFonts w:hint="eastAsia"/>
        </w:rPr>
        <w:t>非交易日，权益按上一交易日的期末权益计算；</w:t>
      </w:r>
    </w:p>
    <w:p w14:paraId="6F755A6D">
      <w:pPr>
        <w:numPr>
          <w:ilvl w:val="0"/>
          <w:numId w:val="1"/>
        </w:numPr>
      </w:pPr>
      <w:r>
        <w:rPr>
          <w:rFonts w:hint="eastAsia"/>
        </w:rPr>
        <w:t>日均可用资金=AVG(每日可用资金)</w:t>
      </w:r>
      <w:r>
        <w:t xml:space="preserve"> = </w:t>
      </w:r>
      <w:r>
        <w:rPr>
          <w:rFonts w:hint="eastAsia"/>
        </w:rPr>
        <w:t>统计期内每交易日的可用资金之和</w:t>
      </w:r>
      <w:r>
        <w:t xml:space="preserve"> / </w:t>
      </w:r>
      <w:r>
        <w:rPr>
          <w:rFonts w:hint="eastAsia"/>
        </w:rPr>
        <w:t>交易天数</w:t>
      </w:r>
    </w:p>
    <w:p w14:paraId="42132B49">
      <w:pPr>
        <w:numPr>
          <w:ilvl w:val="0"/>
          <w:numId w:val="1"/>
        </w:numPr>
      </w:pPr>
      <w:r>
        <w:rPr>
          <w:rFonts w:hint="eastAsia"/>
        </w:rPr>
        <w:t>日均可用资金（自然日）=</w:t>
      </w:r>
      <w:r>
        <w:t xml:space="preserve"> </w:t>
      </w:r>
      <w:r>
        <w:rPr>
          <w:rFonts w:hint="eastAsia"/>
        </w:rPr>
        <w:t>统计期内累计可用资金</w:t>
      </w:r>
      <w:r>
        <w:t xml:space="preserve"> / </w:t>
      </w:r>
      <w:r>
        <w:rPr>
          <w:rFonts w:hint="eastAsia"/>
        </w:rPr>
        <w:t>自然天数</w:t>
      </w:r>
    </w:p>
    <w:p w14:paraId="15E4B5DD">
      <w:pPr>
        <w:pStyle w:val="27"/>
        <w:numPr>
          <w:ilvl w:val="0"/>
          <w:numId w:val="1"/>
        </w:numPr>
      </w:pPr>
      <w:r>
        <w:rPr>
          <w:rFonts w:hint="eastAsia"/>
        </w:rPr>
        <w:t>非交易日，可用资金按上一交易日的可用资金计算；</w:t>
      </w:r>
    </w:p>
    <w:bookmarkEnd w:id="5"/>
    <w:bookmarkEnd w:id="17"/>
    <w:bookmarkEnd w:id="22"/>
    <w:p w14:paraId="3BDDACF1">
      <w:pPr>
        <w:pStyle w:val="4"/>
      </w:pPr>
      <w:bookmarkStart w:id="23" w:name="_Toc23733"/>
      <w:bookmarkStart w:id="24" w:name="三报表使用示例"/>
      <w:r>
        <w:rPr>
          <w:rFonts w:hint="eastAsia"/>
        </w:rPr>
        <w:t>三、报表使用示例</w:t>
      </w:r>
      <w:bookmarkEnd w:id="23"/>
    </w:p>
    <w:p w14:paraId="61F171BF">
      <w:pPr>
        <w:pStyle w:val="5"/>
      </w:pPr>
      <w:bookmarkStart w:id="25" w:name="_Toc12457"/>
      <w:bookmarkStart w:id="26" w:name="交易统计表表样"/>
      <w:r>
        <w:rPr>
          <w:rFonts w:hint="eastAsia"/>
        </w:rPr>
        <w:t>1.交易统计表表样</w:t>
      </w:r>
      <w:bookmarkEnd w:id="25"/>
    </w:p>
    <w:p w14:paraId="57E5142A">
      <w:pPr>
        <w:pStyle w:val="26"/>
      </w:pPr>
      <w:r>
        <w:drawing>
          <wp:inline distT="0" distB="0" distL="114300" distR="114300">
            <wp:extent cx="5334000" cy="2930525"/>
            <wp:effectExtent l="0" t="0" r="0" b="0"/>
            <wp:docPr id="7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93059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26"/>
    <w:p w14:paraId="24D40B18">
      <w:pPr>
        <w:pStyle w:val="5"/>
      </w:pPr>
      <w:bookmarkStart w:id="27" w:name="_Toc21269"/>
      <w:bookmarkStart w:id="28" w:name="交易统计表统计字段"/>
      <w:r>
        <w:rPr>
          <w:rFonts w:hint="eastAsia"/>
        </w:rPr>
        <w:t>2.交易统计表统计字段</w:t>
      </w:r>
      <w:bookmarkEnd w:id="27"/>
    </w:p>
    <w:p w14:paraId="460E297B">
      <w:pPr>
        <w:pStyle w:val="26"/>
      </w:pPr>
      <w:r>
        <w:drawing>
          <wp:inline distT="0" distB="0" distL="114300" distR="114300">
            <wp:extent cx="5334000" cy="1232535"/>
            <wp:effectExtent l="0" t="0" r="0" b="0"/>
            <wp:docPr id="8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3307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13B400">
      <w:pPr>
        <w:numPr>
          <w:ilvl w:val="0"/>
          <w:numId w:val="2"/>
        </w:numPr>
      </w:pPr>
      <w:r>
        <w:rPr>
          <w:rFonts w:hint="eastAsia"/>
        </w:rPr>
        <w:t>（总）手续费</w:t>
      </w:r>
    </w:p>
    <w:p w14:paraId="6263A952">
      <w:pPr>
        <w:numPr>
          <w:ilvl w:val="0"/>
          <w:numId w:val="2"/>
        </w:numPr>
      </w:pPr>
      <w:r>
        <w:rPr>
          <w:rFonts w:hint="eastAsia"/>
        </w:rPr>
        <w:t>上交手续费</w:t>
      </w:r>
    </w:p>
    <w:p w14:paraId="01E90C40">
      <w:pPr>
        <w:numPr>
          <w:ilvl w:val="0"/>
          <w:numId w:val="2"/>
        </w:numPr>
      </w:pPr>
      <w:r>
        <w:rPr>
          <w:rFonts w:hint="eastAsia"/>
        </w:rPr>
        <w:t>留存手续费</w:t>
      </w:r>
    </w:p>
    <w:p w14:paraId="355F45A4">
      <w:pPr>
        <w:numPr>
          <w:ilvl w:val="0"/>
          <w:numId w:val="2"/>
        </w:numPr>
      </w:pPr>
      <w:r>
        <w:rPr>
          <w:rFonts w:hint="eastAsia"/>
        </w:rPr>
        <w:t>交易手续费</w:t>
      </w:r>
    </w:p>
    <w:p w14:paraId="1038653F">
      <w:pPr>
        <w:numPr>
          <w:ilvl w:val="0"/>
          <w:numId w:val="2"/>
        </w:numPr>
      </w:pPr>
      <w:r>
        <w:rPr>
          <w:rFonts w:hint="eastAsia"/>
        </w:rPr>
        <w:t>上交交易手续费</w:t>
      </w:r>
    </w:p>
    <w:p w14:paraId="1F2CFEF7">
      <w:pPr>
        <w:numPr>
          <w:ilvl w:val="0"/>
          <w:numId w:val="2"/>
        </w:numPr>
      </w:pPr>
      <w:r>
        <w:rPr>
          <w:rFonts w:hint="eastAsia"/>
        </w:rPr>
        <w:t>留存交易手续费</w:t>
      </w:r>
    </w:p>
    <w:p w14:paraId="63A9C460">
      <w:pPr>
        <w:numPr>
          <w:ilvl w:val="0"/>
          <w:numId w:val="2"/>
        </w:numPr>
      </w:pPr>
      <w:r>
        <w:rPr>
          <w:rFonts w:hint="eastAsia"/>
        </w:rPr>
        <w:t>平今手续费</w:t>
      </w:r>
    </w:p>
    <w:p w14:paraId="3AB0FEB0">
      <w:pPr>
        <w:numPr>
          <w:ilvl w:val="0"/>
          <w:numId w:val="2"/>
        </w:numPr>
      </w:pPr>
      <w:r>
        <w:rPr>
          <w:rFonts w:hint="eastAsia"/>
        </w:rPr>
        <w:t>平今交易所手续费</w:t>
      </w:r>
    </w:p>
    <w:p w14:paraId="6427988D">
      <w:pPr>
        <w:numPr>
          <w:ilvl w:val="0"/>
          <w:numId w:val="2"/>
        </w:numPr>
      </w:pPr>
      <w:r>
        <w:rPr>
          <w:rFonts w:hint="eastAsia"/>
        </w:rPr>
        <w:t>交割手续费</w:t>
      </w:r>
    </w:p>
    <w:p w14:paraId="3D2F367C">
      <w:pPr>
        <w:numPr>
          <w:ilvl w:val="0"/>
          <w:numId w:val="2"/>
        </w:numPr>
      </w:pPr>
      <w:r>
        <w:rPr>
          <w:rFonts w:hint="eastAsia"/>
        </w:rPr>
        <w:t>上交交割手续费</w:t>
      </w:r>
    </w:p>
    <w:p w14:paraId="12608246">
      <w:pPr>
        <w:numPr>
          <w:ilvl w:val="0"/>
          <w:numId w:val="2"/>
        </w:numPr>
      </w:pPr>
      <w:r>
        <w:rPr>
          <w:rFonts w:hint="eastAsia"/>
        </w:rPr>
        <w:t>留存交割手续费</w:t>
      </w:r>
    </w:p>
    <w:p w14:paraId="4776357D">
      <w:pPr>
        <w:numPr>
          <w:ilvl w:val="0"/>
          <w:numId w:val="2"/>
        </w:numPr>
      </w:pPr>
      <w:r>
        <w:rPr>
          <w:rFonts w:hint="eastAsia"/>
        </w:rPr>
        <w:t>投资者保障基金</w:t>
      </w:r>
    </w:p>
    <w:p w14:paraId="2B2A2422">
      <w:pPr>
        <w:numPr>
          <w:ilvl w:val="0"/>
          <w:numId w:val="2"/>
        </w:numPr>
      </w:pPr>
      <w:r>
        <w:rPr>
          <w:rFonts w:hint="eastAsia"/>
        </w:rPr>
        <w:t>总净留存</w:t>
      </w:r>
    </w:p>
    <w:p w14:paraId="29B4617B">
      <w:pPr>
        <w:numPr>
          <w:ilvl w:val="0"/>
          <w:numId w:val="2"/>
        </w:numPr>
      </w:pPr>
      <w:r>
        <w:rPr>
          <w:rFonts w:hint="eastAsia"/>
        </w:rPr>
        <w:t>成交手数</w:t>
      </w:r>
    </w:p>
    <w:p w14:paraId="6558E52B">
      <w:pPr>
        <w:numPr>
          <w:ilvl w:val="0"/>
          <w:numId w:val="2"/>
        </w:numPr>
      </w:pPr>
      <w:r>
        <w:rPr>
          <w:rFonts w:hint="eastAsia"/>
        </w:rPr>
        <w:t>平今手数</w:t>
      </w:r>
    </w:p>
    <w:p w14:paraId="25A7995F">
      <w:pPr>
        <w:numPr>
          <w:ilvl w:val="0"/>
          <w:numId w:val="2"/>
        </w:numPr>
      </w:pPr>
      <w:r>
        <w:rPr>
          <w:rFonts w:hint="eastAsia"/>
        </w:rPr>
        <w:t>成交额</w:t>
      </w:r>
    </w:p>
    <w:p w14:paraId="12B0B626">
      <w:pPr>
        <w:numPr>
          <w:ilvl w:val="0"/>
          <w:numId w:val="2"/>
        </w:numPr>
      </w:pPr>
      <w:r>
        <w:rPr>
          <w:rFonts w:hint="eastAsia"/>
        </w:rPr>
        <w:t>日均成交手数</w:t>
      </w:r>
    </w:p>
    <w:p w14:paraId="7AB28676">
      <w:pPr>
        <w:numPr>
          <w:ilvl w:val="0"/>
          <w:numId w:val="2"/>
        </w:numPr>
      </w:pPr>
      <w:r>
        <w:rPr>
          <w:rFonts w:hint="eastAsia"/>
        </w:rPr>
        <w:t>日均成交额</w:t>
      </w:r>
    </w:p>
    <w:p w14:paraId="762054C7">
      <w:pPr>
        <w:numPr>
          <w:ilvl w:val="0"/>
          <w:numId w:val="2"/>
        </w:numPr>
      </w:pPr>
      <w:r>
        <w:rPr>
          <w:rFonts w:hint="eastAsia"/>
        </w:rPr>
        <w:t>平今成交额</w:t>
      </w:r>
    </w:p>
    <w:p w14:paraId="1412ED08">
      <w:pPr>
        <w:numPr>
          <w:ilvl w:val="0"/>
          <w:numId w:val="2"/>
        </w:numPr>
      </w:pPr>
      <w:r>
        <w:rPr>
          <w:rFonts w:hint="eastAsia"/>
        </w:rPr>
        <w:t>总盈亏</w:t>
      </w:r>
    </w:p>
    <w:p w14:paraId="6F072534">
      <w:pPr>
        <w:numPr>
          <w:ilvl w:val="0"/>
          <w:numId w:val="2"/>
        </w:numPr>
      </w:pPr>
      <w:r>
        <w:rPr>
          <w:rFonts w:hint="eastAsia"/>
        </w:rPr>
        <w:t>持仓盈亏</w:t>
      </w:r>
    </w:p>
    <w:p w14:paraId="0B5DFE03">
      <w:pPr>
        <w:numPr>
          <w:ilvl w:val="0"/>
          <w:numId w:val="2"/>
        </w:numPr>
      </w:pPr>
      <w:r>
        <w:rPr>
          <w:rFonts w:hint="eastAsia"/>
        </w:rPr>
        <w:t>平仓盈亏</w:t>
      </w:r>
    </w:p>
    <w:p w14:paraId="1A37623C">
      <w:pPr>
        <w:numPr>
          <w:ilvl w:val="0"/>
          <w:numId w:val="2"/>
        </w:numPr>
      </w:pPr>
      <w:r>
        <w:rPr>
          <w:rFonts w:hint="eastAsia"/>
        </w:rPr>
        <w:t>交割手数</w:t>
      </w:r>
    </w:p>
    <w:p w14:paraId="10A92A5E">
      <w:pPr>
        <w:numPr>
          <w:ilvl w:val="0"/>
          <w:numId w:val="2"/>
        </w:numPr>
      </w:pPr>
      <w:r>
        <w:rPr>
          <w:rFonts w:hint="eastAsia"/>
        </w:rPr>
        <w:t>交割金额</w:t>
      </w:r>
    </w:p>
    <w:p w14:paraId="0CE46E73">
      <w:pPr>
        <w:numPr>
          <w:ilvl w:val="0"/>
          <w:numId w:val="2"/>
        </w:numPr>
      </w:pPr>
      <w:r>
        <w:rPr>
          <w:rFonts w:hint="eastAsia"/>
        </w:rPr>
        <w:t>持仓手数-买</w:t>
      </w:r>
    </w:p>
    <w:p w14:paraId="5EFC621A">
      <w:pPr>
        <w:numPr>
          <w:ilvl w:val="0"/>
          <w:numId w:val="2"/>
        </w:numPr>
      </w:pPr>
      <w:r>
        <w:rPr>
          <w:rFonts w:hint="eastAsia"/>
        </w:rPr>
        <w:t>持仓手数-卖</w:t>
      </w:r>
    </w:p>
    <w:p w14:paraId="5545F390">
      <w:pPr>
        <w:numPr>
          <w:ilvl w:val="0"/>
          <w:numId w:val="2"/>
        </w:numPr>
      </w:pPr>
      <w:r>
        <w:rPr>
          <w:rFonts w:hint="eastAsia"/>
        </w:rPr>
        <w:t>持仓手数</w:t>
      </w:r>
    </w:p>
    <w:p w14:paraId="5DE1261E">
      <w:pPr>
        <w:numPr>
          <w:ilvl w:val="0"/>
          <w:numId w:val="2"/>
        </w:numPr>
      </w:pPr>
      <w:r>
        <w:rPr>
          <w:rFonts w:hint="eastAsia"/>
        </w:rPr>
        <w:t>持仓金额-买</w:t>
      </w:r>
    </w:p>
    <w:p w14:paraId="7B81CB39">
      <w:pPr>
        <w:numPr>
          <w:ilvl w:val="0"/>
          <w:numId w:val="2"/>
        </w:numPr>
      </w:pPr>
      <w:r>
        <w:rPr>
          <w:rFonts w:hint="eastAsia"/>
        </w:rPr>
        <w:t>持仓金额-卖</w:t>
      </w:r>
    </w:p>
    <w:p w14:paraId="24C5B28B">
      <w:pPr>
        <w:numPr>
          <w:ilvl w:val="0"/>
          <w:numId w:val="2"/>
        </w:numPr>
      </w:pPr>
      <w:r>
        <w:rPr>
          <w:rFonts w:hint="eastAsia"/>
        </w:rPr>
        <w:t>持仓金额</w:t>
      </w:r>
    </w:p>
    <w:p w14:paraId="6628E2A0">
      <w:pPr>
        <w:numPr>
          <w:ilvl w:val="0"/>
          <w:numId w:val="2"/>
        </w:numPr>
      </w:pPr>
      <w:r>
        <w:rPr>
          <w:rFonts w:hint="eastAsia"/>
        </w:rPr>
        <w:t>日均持仓</w:t>
      </w:r>
    </w:p>
    <w:p w14:paraId="29BF5A71">
      <w:pPr>
        <w:numPr>
          <w:ilvl w:val="0"/>
          <w:numId w:val="2"/>
        </w:numPr>
      </w:pPr>
      <w:r>
        <w:rPr>
          <w:rFonts w:hint="eastAsia"/>
        </w:rPr>
        <w:t>保证金</w:t>
      </w:r>
    </w:p>
    <w:p w14:paraId="473F7ED4">
      <w:pPr>
        <w:numPr>
          <w:ilvl w:val="0"/>
          <w:numId w:val="2"/>
        </w:numPr>
      </w:pPr>
      <w:r>
        <w:rPr>
          <w:rFonts w:hint="eastAsia"/>
        </w:rPr>
        <w:t>交易所保证金</w:t>
      </w:r>
    </w:p>
    <w:p w14:paraId="3065D633">
      <w:pPr>
        <w:numPr>
          <w:ilvl w:val="0"/>
          <w:numId w:val="2"/>
        </w:numPr>
      </w:pPr>
      <w:r>
        <w:rPr>
          <w:rFonts w:hint="eastAsia"/>
        </w:rPr>
        <w:t>行权手续费</w:t>
      </w:r>
    </w:p>
    <w:p w14:paraId="5DBBF5A6">
      <w:pPr>
        <w:numPr>
          <w:ilvl w:val="0"/>
          <w:numId w:val="2"/>
        </w:numPr>
      </w:pPr>
      <w:r>
        <w:rPr>
          <w:rFonts w:hint="eastAsia"/>
        </w:rPr>
        <w:t>交易所行权手续费</w:t>
      </w:r>
    </w:p>
    <w:p w14:paraId="30311B6D">
      <w:pPr>
        <w:numPr>
          <w:ilvl w:val="0"/>
          <w:numId w:val="2"/>
        </w:numPr>
      </w:pPr>
      <w:r>
        <w:rPr>
          <w:rFonts w:hint="eastAsia"/>
        </w:rPr>
        <w:t>履约手续费</w:t>
      </w:r>
    </w:p>
    <w:p w14:paraId="189C2C6B">
      <w:pPr>
        <w:numPr>
          <w:ilvl w:val="0"/>
          <w:numId w:val="2"/>
        </w:numPr>
      </w:pPr>
      <w:r>
        <w:rPr>
          <w:rFonts w:hint="eastAsia"/>
        </w:rPr>
        <w:t>交易所履约手续费</w:t>
      </w:r>
    </w:p>
    <w:p w14:paraId="7296C2AF">
      <w:pPr>
        <w:numPr>
          <w:ilvl w:val="0"/>
          <w:numId w:val="2"/>
        </w:numPr>
      </w:pPr>
      <w:r>
        <w:rPr>
          <w:rFonts w:hint="eastAsia"/>
        </w:rPr>
        <w:t>期权多头持仓市值</w:t>
      </w:r>
    </w:p>
    <w:p w14:paraId="38AEBD3B">
      <w:pPr>
        <w:numPr>
          <w:ilvl w:val="0"/>
          <w:numId w:val="2"/>
        </w:numPr>
      </w:pPr>
      <w:r>
        <w:rPr>
          <w:rFonts w:hint="eastAsia"/>
        </w:rPr>
        <w:t>期权空头持仓市值</w:t>
      </w:r>
    </w:p>
    <w:p w14:paraId="094731A4">
      <w:pPr>
        <w:numPr>
          <w:ilvl w:val="0"/>
          <w:numId w:val="2"/>
        </w:numPr>
      </w:pPr>
      <w:r>
        <w:rPr>
          <w:rFonts w:hint="eastAsia"/>
        </w:rPr>
        <w:t>期权权利金收入</w:t>
      </w:r>
    </w:p>
    <w:p w14:paraId="77F5FF91">
      <w:pPr>
        <w:numPr>
          <w:ilvl w:val="0"/>
          <w:numId w:val="2"/>
        </w:numPr>
      </w:pPr>
      <w:r>
        <w:rPr>
          <w:rFonts w:hint="eastAsia"/>
        </w:rPr>
        <w:t>期权权利金支出</w:t>
      </w:r>
    </w:p>
    <w:p w14:paraId="04D261D0">
      <w:pPr>
        <w:numPr>
          <w:ilvl w:val="0"/>
          <w:numId w:val="2"/>
        </w:numPr>
      </w:pPr>
      <w:r>
        <w:rPr>
          <w:rFonts w:hint="eastAsia"/>
        </w:rPr>
        <w:t>期权执行盈亏</w:t>
      </w:r>
    </w:p>
    <w:bookmarkEnd w:id="28"/>
    <w:p w14:paraId="1C3DC01C">
      <w:pPr>
        <w:pStyle w:val="5"/>
      </w:pPr>
      <w:bookmarkStart w:id="29" w:name="_Toc4520"/>
      <w:bookmarkStart w:id="30" w:name="交易统计表筛选条件及说明"/>
      <w:r>
        <w:rPr>
          <w:rFonts w:hint="eastAsia"/>
        </w:rPr>
        <w:t>3.交易统计表筛选条件及说明</w:t>
      </w:r>
      <w:bookmarkEnd w:id="29"/>
    </w:p>
    <w:p w14:paraId="7F1E0794">
      <w:pPr>
        <w:pStyle w:val="26"/>
      </w:pPr>
      <w:r>
        <w:drawing>
          <wp:inline distT="0" distB="0" distL="114300" distR="114300">
            <wp:extent cx="5334000" cy="1234440"/>
            <wp:effectExtent l="0" t="0" r="0" b="0"/>
            <wp:docPr id="8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234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E03221">
      <w:pPr>
        <w:pStyle w:val="3"/>
      </w:pPr>
      <w:r>
        <w:t xml:space="preserve">3.1 </w:t>
      </w:r>
      <w:r>
        <w:rPr>
          <w:rFonts w:hint="eastAsia"/>
        </w:rPr>
        <w:t>所属部门：可以勾选所需数据的层级，总部级别、营业部级别等；</w:t>
      </w:r>
    </w:p>
    <w:p w14:paraId="5D8974B1">
      <w:pPr>
        <w:pStyle w:val="13"/>
      </w:pPr>
      <w:r>
        <w:drawing>
          <wp:inline distT="0" distB="0" distL="114300" distR="114300">
            <wp:extent cx="3629025" cy="3028950"/>
            <wp:effectExtent l="0" t="0" r="0" b="0"/>
            <wp:docPr id="9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D2DF8C1">
      <w:pPr>
        <w:pStyle w:val="26"/>
      </w:pPr>
      <w:r>
        <w:t xml:space="preserve">3.2 </w:t>
      </w:r>
      <w:r>
        <w:rPr>
          <w:rFonts w:hint="eastAsia"/>
        </w:rPr>
        <w:t>报表频度与报表开始日期：</w:t>
      </w:r>
    </w:p>
    <w:p w14:paraId="0DD9856B">
      <w:pPr>
        <w:pStyle w:val="13"/>
      </w:pPr>
      <w:r>
        <w:rPr>
          <w:rFonts w:hint="eastAsia"/>
          <w:b/>
          <w:bCs/>
        </w:rPr>
        <w:t>月：</w:t>
      </w:r>
      <w:r>
        <w:t xml:space="preserve"> </w:t>
      </w:r>
      <w:r>
        <w:rPr>
          <w:rFonts w:hint="eastAsia"/>
        </w:rPr>
        <w:t>报表开始日期选择需要查询的那一月的任意一天</w:t>
      </w:r>
    </w:p>
    <w:p w14:paraId="4FFFE786">
      <w:pPr>
        <w:pStyle w:val="13"/>
      </w:pPr>
      <w:r>
        <w:rPr>
          <w:rFonts w:hint="eastAsia"/>
          <w:b/>
          <w:bCs/>
        </w:rPr>
        <w:t>季：</w:t>
      </w:r>
      <w:r>
        <w:t xml:space="preserve"> </w:t>
      </w:r>
      <w:r>
        <w:rPr>
          <w:rFonts w:hint="eastAsia"/>
        </w:rPr>
        <w:t>报表开始日期选择需要查询的季度的任意一天</w:t>
      </w:r>
    </w:p>
    <w:p w14:paraId="208951E3">
      <w:pPr>
        <w:pStyle w:val="13"/>
      </w:pPr>
      <w:r>
        <w:rPr>
          <w:rFonts w:hint="eastAsia"/>
          <w:b/>
          <w:bCs/>
        </w:rPr>
        <w:t>半年：</w:t>
      </w:r>
      <w:r>
        <w:t xml:space="preserve"> </w:t>
      </w:r>
      <w:r>
        <w:rPr>
          <w:rFonts w:hint="eastAsia"/>
        </w:rPr>
        <w:t>报表开始日期选择需要查询的半年的任意一天</w:t>
      </w:r>
    </w:p>
    <w:p w14:paraId="19276857">
      <w:pPr>
        <w:pStyle w:val="13"/>
      </w:pPr>
      <w:r>
        <w:rPr>
          <w:rFonts w:hint="eastAsia"/>
          <w:b/>
          <w:bCs/>
        </w:rPr>
        <w:t>年：</w:t>
      </w:r>
      <w:r>
        <w:t xml:space="preserve"> </w:t>
      </w:r>
      <w:r>
        <w:rPr>
          <w:rFonts w:hint="eastAsia"/>
        </w:rPr>
        <w:t>报表开始日期选择需要查询的年度的任意一天</w:t>
      </w:r>
    </w:p>
    <w:p w14:paraId="56599197">
      <w:pPr>
        <w:pStyle w:val="27"/>
        <w:numPr>
          <w:ilvl w:val="0"/>
          <w:numId w:val="3"/>
        </w:numPr>
      </w:pPr>
      <w:r>
        <w:rPr>
          <w:rFonts w:hint="eastAsia"/>
        </w:rPr>
        <w:t>客户统计方式：</w:t>
      </w:r>
    </w:p>
    <w:p w14:paraId="1CA73EFC">
      <w:pPr>
        <w:pStyle w:val="13"/>
      </w:pPr>
      <w:r>
        <w:drawing>
          <wp:inline distT="0" distB="0" distL="114300" distR="114300">
            <wp:extent cx="2695575" cy="2200275"/>
            <wp:effectExtent l="0" t="0" r="0" b="0"/>
            <wp:docPr id="9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9E9CB3">
      <w:pPr>
        <w:pStyle w:val="13"/>
      </w:pPr>
      <w:r>
        <w:rPr>
          <w:rFonts w:hint="eastAsia"/>
          <w:b/>
          <w:bCs/>
        </w:rPr>
        <w:t>按客户统计：</w:t>
      </w:r>
      <w:r>
        <w:t xml:space="preserve"> </w:t>
      </w:r>
      <w:r>
        <w:rPr>
          <w:rFonts w:hint="eastAsia"/>
        </w:rPr>
        <w:t>以单个投资者为统计目标</w:t>
      </w:r>
    </w:p>
    <w:p w14:paraId="24AE6FC9">
      <w:pPr>
        <w:pStyle w:val="13"/>
      </w:pPr>
      <w:r>
        <w:rPr>
          <w:rFonts w:hint="eastAsia"/>
          <w:b/>
          <w:bCs/>
        </w:rPr>
        <w:t>按营业部统计：</w:t>
      </w:r>
      <w:r>
        <w:t xml:space="preserve"> </w:t>
      </w:r>
      <w:r>
        <w:rPr>
          <w:rFonts w:hint="eastAsia"/>
        </w:rPr>
        <w:t>以营业部为单位统计</w:t>
      </w:r>
    </w:p>
    <w:p w14:paraId="365FCCAA">
      <w:pPr>
        <w:pStyle w:val="13"/>
      </w:pPr>
      <w:r>
        <w:rPr>
          <w:rFonts w:hint="eastAsia"/>
          <w:b/>
          <w:bCs/>
        </w:rPr>
        <w:t>按组织架构+属性统计：</w:t>
      </w:r>
      <w:r>
        <w:t xml:space="preserve"> </w:t>
      </w:r>
      <w:r>
        <w:rPr>
          <w:rFonts w:hint="eastAsia"/>
        </w:rPr>
        <w:t>以组织架构+投资者属性为单位统计</w:t>
      </w:r>
    </w:p>
    <w:p w14:paraId="6CDBB986">
      <w:pPr>
        <w:pStyle w:val="13"/>
      </w:pPr>
      <w:r>
        <w:rPr>
          <w:rFonts w:hint="eastAsia"/>
          <w:b/>
          <w:bCs/>
        </w:rPr>
        <w:t>按组织架构+部门统计：</w:t>
      </w:r>
      <w:r>
        <w:t xml:space="preserve"> </w:t>
      </w:r>
      <w:r>
        <w:rPr>
          <w:rFonts w:hint="eastAsia"/>
        </w:rPr>
        <w:t>以组织架构+部门为单位统计</w:t>
      </w:r>
    </w:p>
    <w:p w14:paraId="00FBDD7E">
      <w:pPr>
        <w:pStyle w:val="13"/>
      </w:pPr>
      <w:r>
        <w:rPr>
          <w:rFonts w:hint="eastAsia"/>
          <w:b/>
          <w:bCs/>
        </w:rPr>
        <w:t>按”-“统计：</w:t>
      </w:r>
      <w:r>
        <w:t xml:space="preserve"> </w:t>
      </w:r>
      <w:r>
        <w:rPr>
          <w:rFonts w:hint="eastAsia"/>
        </w:rPr>
        <w:t>忽略此项统计条件，提高其他选项统计优先级。</w:t>
      </w:r>
    </w:p>
    <w:p w14:paraId="2A454BD0">
      <w:pPr>
        <w:pStyle w:val="27"/>
        <w:numPr>
          <w:ilvl w:val="0"/>
          <w:numId w:val="4"/>
        </w:numPr>
      </w:pPr>
      <w:r>
        <w:rPr>
          <w:rFonts w:hint="eastAsia"/>
        </w:rPr>
        <w:t>业务种类</w:t>
      </w:r>
    </w:p>
    <w:p w14:paraId="45DB626D">
      <w:pPr>
        <w:pStyle w:val="13"/>
      </w:pPr>
      <w:r>
        <w:drawing>
          <wp:inline distT="0" distB="0" distL="114300" distR="114300">
            <wp:extent cx="2276475" cy="1485900"/>
            <wp:effectExtent l="0" t="0" r="0" b="0"/>
            <wp:docPr id="9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E00ACE">
      <w:pPr>
        <w:pStyle w:val="13"/>
      </w:pPr>
      <w:r>
        <w:rPr>
          <w:rFonts w:hint="eastAsia"/>
          <w:b/>
          <w:bCs/>
        </w:rPr>
        <w:t>全部：</w:t>
      </w:r>
      <w:r>
        <w:t xml:space="preserve"> </w:t>
      </w:r>
      <w:r>
        <w:rPr>
          <w:rFonts w:hint="eastAsia"/>
        </w:rPr>
        <w:t>查询所有期货和期权数据；</w:t>
      </w:r>
    </w:p>
    <w:p w14:paraId="66937840">
      <w:pPr>
        <w:pStyle w:val="13"/>
      </w:pPr>
      <w:r>
        <w:rPr>
          <w:rFonts w:hint="eastAsia"/>
          <w:b/>
          <w:bCs/>
        </w:rPr>
        <w:t>期货：</w:t>
      </w:r>
      <w:r>
        <w:t xml:space="preserve"> </w:t>
      </w:r>
      <w:r>
        <w:rPr>
          <w:rFonts w:hint="eastAsia"/>
        </w:rPr>
        <w:t>仅查询”期货”数据；</w:t>
      </w:r>
    </w:p>
    <w:p w14:paraId="15EE00E1">
      <w:pPr>
        <w:pStyle w:val="13"/>
      </w:pPr>
      <w:r>
        <w:rPr>
          <w:rFonts w:hint="eastAsia"/>
          <w:b/>
          <w:bCs/>
        </w:rPr>
        <w:t>期权：</w:t>
      </w:r>
      <w:r>
        <w:t xml:space="preserve"> </w:t>
      </w:r>
      <w:r>
        <w:rPr>
          <w:rFonts w:hint="eastAsia"/>
        </w:rPr>
        <w:t>仅查询”期权”数据；</w:t>
      </w:r>
    </w:p>
    <w:p w14:paraId="307BE9E6">
      <w:pPr>
        <w:pStyle w:val="27"/>
        <w:numPr>
          <w:ilvl w:val="0"/>
          <w:numId w:val="5"/>
        </w:numPr>
      </w:pPr>
      <w:r>
        <w:rPr>
          <w:rFonts w:hint="eastAsia"/>
        </w:rPr>
        <w:t>品种统计方式：</w:t>
      </w:r>
    </w:p>
    <w:p w14:paraId="113050DD">
      <w:pPr>
        <w:pStyle w:val="13"/>
      </w:pPr>
      <w:r>
        <w:drawing>
          <wp:inline distT="0" distB="0" distL="114300" distR="114300">
            <wp:extent cx="2428875" cy="1857375"/>
            <wp:effectExtent l="0" t="0" r="0" b="0"/>
            <wp:docPr id="9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408EAF">
      <w:pPr>
        <w:pStyle w:val="13"/>
      </w:pPr>
      <w:r>
        <w:rPr>
          <w:rFonts w:hint="eastAsia"/>
          <w:b/>
          <w:bCs/>
        </w:rPr>
        <w:t>全部：</w:t>
      </w:r>
      <w:r>
        <w:t xml:space="preserve"> </w:t>
      </w:r>
      <w:r>
        <w:rPr>
          <w:rFonts w:hint="eastAsia"/>
        </w:rPr>
        <w:t>查询合计数，例如：查询某时段所有交易数据</w:t>
      </w:r>
    </w:p>
    <w:p w14:paraId="18DE0190">
      <w:pPr>
        <w:pStyle w:val="13"/>
      </w:pPr>
      <w:r>
        <w:rPr>
          <w:rFonts w:hint="eastAsia"/>
          <w:b/>
          <w:bCs/>
        </w:rPr>
        <w:t>交易所：</w:t>
      </w:r>
      <w:r>
        <w:t xml:space="preserve"> </w:t>
      </w:r>
      <w:r>
        <w:rPr>
          <w:rFonts w:hint="eastAsia"/>
        </w:rPr>
        <w:t>以交易所为统计方式，例如：查询某个交易所某段时间的交易数据</w:t>
      </w:r>
    </w:p>
    <w:p w14:paraId="76295403">
      <w:pPr>
        <w:pStyle w:val="13"/>
      </w:pPr>
      <w:r>
        <w:rPr>
          <w:rFonts w:hint="eastAsia"/>
          <w:b/>
          <w:bCs/>
        </w:rPr>
        <w:t>品种：</w:t>
      </w:r>
      <w:r>
        <w:t xml:space="preserve"> </w:t>
      </w:r>
      <w:r>
        <w:rPr>
          <w:rFonts w:hint="eastAsia"/>
        </w:rPr>
        <w:t>以品种为统计，例如：查询某个品种的某段时间的交易数据</w:t>
      </w:r>
    </w:p>
    <w:p w14:paraId="0C6D741A">
      <w:pPr>
        <w:pStyle w:val="13"/>
      </w:pPr>
      <w:r>
        <w:rPr>
          <w:rFonts w:hint="eastAsia"/>
          <w:b/>
          <w:bCs/>
        </w:rPr>
        <w:t>品种交割期：</w:t>
      </w:r>
      <w:r>
        <w:t xml:space="preserve"> </w:t>
      </w:r>
      <w:r>
        <w:rPr>
          <w:rFonts w:hint="eastAsia"/>
        </w:rPr>
        <w:t>以合约为统计，例如：查询某个合约的交易数据</w:t>
      </w:r>
    </w:p>
    <w:p w14:paraId="6BFAD02D">
      <w:pPr>
        <w:pStyle w:val="27"/>
        <w:numPr>
          <w:ilvl w:val="0"/>
          <w:numId w:val="6"/>
        </w:numPr>
      </w:pPr>
      <w:r>
        <w:rPr>
          <w:rFonts w:hint="eastAsia"/>
        </w:rPr>
        <w:t>投机套保标志：</w:t>
      </w:r>
    </w:p>
    <w:p w14:paraId="22735D33">
      <w:pPr>
        <w:pStyle w:val="13"/>
      </w:pPr>
      <w:r>
        <w:drawing>
          <wp:inline distT="0" distB="0" distL="114300" distR="114300">
            <wp:extent cx="2428875" cy="1781175"/>
            <wp:effectExtent l="0" t="0" r="0" b="0"/>
            <wp:docPr id="10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4274AF">
      <w:pPr>
        <w:pStyle w:val="13"/>
      </w:pPr>
      <w:r>
        <w:rPr>
          <w:rFonts w:hint="eastAsia"/>
          <w:b/>
          <w:bCs/>
        </w:rPr>
        <w:t>全部：</w:t>
      </w:r>
      <w:r>
        <w:t xml:space="preserve"> </w:t>
      </w:r>
      <w:r>
        <w:rPr>
          <w:rFonts w:hint="eastAsia"/>
        </w:rPr>
        <w:t>对于查询结果的客户类型不做区分</w:t>
      </w:r>
    </w:p>
    <w:p w14:paraId="01E325AE">
      <w:pPr>
        <w:pStyle w:val="13"/>
      </w:pPr>
      <w:r>
        <w:rPr>
          <w:rFonts w:hint="eastAsia"/>
          <w:b/>
          <w:bCs/>
        </w:rPr>
        <w:t>投机：</w:t>
      </w:r>
      <w:r>
        <w:t xml:space="preserve"> </w:t>
      </w:r>
      <w:r>
        <w:rPr>
          <w:rFonts w:hint="eastAsia"/>
        </w:rPr>
        <w:t>查询系统内标志为投机的客户</w:t>
      </w:r>
    </w:p>
    <w:p w14:paraId="60096724">
      <w:pPr>
        <w:pStyle w:val="13"/>
      </w:pPr>
      <w:r>
        <w:rPr>
          <w:rFonts w:hint="eastAsia"/>
          <w:b/>
          <w:bCs/>
        </w:rPr>
        <w:t>套保：</w:t>
      </w:r>
      <w:r>
        <w:t xml:space="preserve"> </w:t>
      </w:r>
      <w:r>
        <w:rPr>
          <w:rFonts w:hint="eastAsia"/>
        </w:rPr>
        <w:t>查询系统内标志为套保的客户</w:t>
      </w:r>
    </w:p>
    <w:p w14:paraId="311180B9">
      <w:pPr>
        <w:pStyle w:val="13"/>
      </w:pPr>
      <w:r>
        <w:rPr>
          <w:rFonts w:hint="eastAsia"/>
          <w:b/>
          <w:bCs/>
        </w:rPr>
        <w:t>套利：</w:t>
      </w:r>
      <w:r>
        <w:t xml:space="preserve"> </w:t>
      </w:r>
      <w:r>
        <w:rPr>
          <w:rFonts w:hint="eastAsia"/>
        </w:rPr>
        <w:t>查询系统内标志为套利的客户</w:t>
      </w:r>
    </w:p>
    <w:p w14:paraId="418A1806">
      <w:pPr>
        <w:pStyle w:val="27"/>
        <w:numPr>
          <w:ilvl w:val="0"/>
          <w:numId w:val="7"/>
        </w:numPr>
      </w:pPr>
      <w:r>
        <w:rPr>
          <w:rFonts w:hint="eastAsia"/>
        </w:rPr>
        <w:t>交易所</w:t>
      </w:r>
    </w:p>
    <w:p w14:paraId="0C822E7A">
      <w:pPr>
        <w:pStyle w:val="13"/>
      </w:pPr>
      <w:r>
        <w:drawing>
          <wp:inline distT="0" distB="0" distL="114300" distR="114300">
            <wp:extent cx="2428875" cy="2857500"/>
            <wp:effectExtent l="0" t="0" r="0" b="0"/>
            <wp:docPr id="10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4EB89CD">
      <w:pPr>
        <w:pStyle w:val="27"/>
        <w:numPr>
          <w:ilvl w:val="0"/>
          <w:numId w:val="8"/>
        </w:numPr>
      </w:pPr>
      <w:r>
        <w:rPr>
          <w:rFonts w:hint="eastAsia"/>
        </w:rPr>
        <w:t>产品</w:t>
      </w:r>
    </w:p>
    <w:p w14:paraId="5C82029F">
      <w:pPr>
        <w:pStyle w:val="13"/>
      </w:pPr>
      <w:r>
        <w:rPr>
          <w:rFonts w:hint="eastAsia"/>
        </w:rPr>
        <w:t>包含所有品种类型，根据查询目的选择品种类型。</w:t>
      </w:r>
    </w:p>
    <w:p w14:paraId="4D67B400">
      <w:pPr>
        <w:pStyle w:val="13"/>
      </w:pPr>
      <w:r>
        <w:drawing>
          <wp:inline distT="0" distB="0" distL="114300" distR="114300">
            <wp:extent cx="2352675" cy="2914650"/>
            <wp:effectExtent l="0" t="0" r="0" b="0"/>
            <wp:docPr id="10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8317C64">
      <w:pPr>
        <w:pStyle w:val="27"/>
        <w:numPr>
          <w:ilvl w:val="0"/>
          <w:numId w:val="9"/>
        </w:numPr>
      </w:pPr>
      <w:r>
        <w:rPr>
          <w:rFonts w:hint="eastAsia"/>
        </w:rPr>
        <w:t>投资者代码</w:t>
      </w:r>
    </w:p>
    <w:p w14:paraId="6D910F7F">
      <w:pPr>
        <w:pStyle w:val="13"/>
      </w:pPr>
      <w:r>
        <w:rPr>
          <w:rFonts w:hint="eastAsia"/>
        </w:rPr>
        <w:t>即资金账号，用于查询已知投资者代码的客户交易统计数据；</w:t>
      </w:r>
    </w:p>
    <w:p w14:paraId="5104ED11">
      <w:pPr>
        <w:pStyle w:val="27"/>
        <w:numPr>
          <w:ilvl w:val="0"/>
          <w:numId w:val="10"/>
        </w:numPr>
      </w:pPr>
      <w:r>
        <w:rPr>
          <w:rFonts w:hint="eastAsia"/>
        </w:rPr>
        <w:t>投资者类型</w:t>
      </w:r>
    </w:p>
    <w:p w14:paraId="16F9F4B9">
      <w:pPr>
        <w:pStyle w:val="13"/>
      </w:pPr>
      <w:r>
        <w:drawing>
          <wp:inline distT="0" distB="0" distL="114300" distR="114300">
            <wp:extent cx="2486025" cy="2162175"/>
            <wp:effectExtent l="0" t="0" r="0" b="0"/>
            <wp:docPr id="11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6D3E934">
      <w:pPr>
        <w:pStyle w:val="13"/>
      </w:pPr>
      <w:r>
        <w:rPr>
          <w:rFonts w:hint="eastAsia"/>
        </w:rPr>
        <w:t>用于筛选自然人、法人、特法、资管等客户不同类型；</w:t>
      </w:r>
    </w:p>
    <w:p w14:paraId="19C60A81">
      <w:pPr>
        <w:pStyle w:val="27"/>
        <w:numPr>
          <w:ilvl w:val="0"/>
          <w:numId w:val="11"/>
        </w:numPr>
      </w:pPr>
      <w:r>
        <w:rPr>
          <w:rFonts w:hint="eastAsia"/>
        </w:rPr>
        <w:t>资管户类型</w:t>
      </w:r>
    </w:p>
    <w:p w14:paraId="7F65AA39">
      <w:pPr>
        <w:pStyle w:val="13"/>
      </w:pPr>
      <w:r>
        <w:drawing>
          <wp:inline distT="0" distB="0" distL="114300" distR="114300">
            <wp:extent cx="2390775" cy="1524000"/>
            <wp:effectExtent l="0" t="0" r="0" b="0"/>
            <wp:docPr id="114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E0386B">
      <w:pPr>
        <w:pStyle w:val="27"/>
        <w:numPr>
          <w:ilvl w:val="0"/>
          <w:numId w:val="12"/>
        </w:numPr>
      </w:pPr>
      <w:r>
        <w:rPr>
          <w:rFonts w:hint="eastAsia"/>
        </w:rPr>
        <w:t>休眠标志</w:t>
      </w:r>
    </w:p>
    <w:p w14:paraId="5C3E17F9">
      <w:pPr>
        <w:pStyle w:val="13"/>
      </w:pPr>
      <w:r>
        <w:drawing>
          <wp:inline distT="0" distB="0" distL="114300" distR="114300">
            <wp:extent cx="2486025" cy="1552575"/>
            <wp:effectExtent l="0" t="0" r="0" b="0"/>
            <wp:docPr id="117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8DA8AD">
      <w:pPr>
        <w:pStyle w:val="13"/>
      </w:pPr>
      <w:r>
        <w:rPr>
          <w:rFonts w:hint="eastAsia"/>
          <w:b/>
          <w:bCs/>
        </w:rPr>
        <w:t>含休眠户：</w:t>
      </w:r>
      <w:r>
        <w:t xml:space="preserve"> </w:t>
      </w:r>
      <w:r>
        <w:rPr>
          <w:rFonts w:hint="eastAsia"/>
        </w:rPr>
        <w:t>即查询客户范围为全部客户；</w:t>
      </w:r>
    </w:p>
    <w:p w14:paraId="6EF2BA93">
      <w:pPr>
        <w:pStyle w:val="13"/>
      </w:pPr>
      <w:r>
        <w:rPr>
          <w:rFonts w:hint="eastAsia"/>
          <w:b/>
          <w:bCs/>
        </w:rPr>
        <w:t>不含休眠户：</w:t>
      </w:r>
      <w:r>
        <w:t xml:space="preserve"> </w:t>
      </w:r>
      <w:r>
        <w:rPr>
          <w:rFonts w:hint="eastAsia"/>
        </w:rPr>
        <w:t>仅查询状态不是”休眠”的客户数据；</w:t>
      </w:r>
    </w:p>
    <w:p w14:paraId="36A3223C">
      <w:pPr>
        <w:pStyle w:val="13"/>
      </w:pPr>
      <w:r>
        <w:rPr>
          <w:rFonts w:hint="eastAsia"/>
          <w:b/>
          <w:bCs/>
        </w:rPr>
        <w:t>休眠户：</w:t>
      </w:r>
      <w:r>
        <w:t xml:space="preserve"> </w:t>
      </w:r>
      <w:r>
        <w:rPr>
          <w:rFonts w:hint="eastAsia"/>
        </w:rPr>
        <w:t>仅查询状态为”休眠”的客户数据；</w:t>
      </w:r>
    </w:p>
    <w:p w14:paraId="36E66C16">
      <w:pPr>
        <w:pStyle w:val="27"/>
        <w:numPr>
          <w:ilvl w:val="0"/>
          <w:numId w:val="13"/>
        </w:numPr>
      </w:pPr>
      <w:r>
        <w:rPr>
          <w:rFonts w:hint="eastAsia"/>
        </w:rPr>
        <w:t>结果输出方式</w:t>
      </w:r>
    </w:p>
    <w:p w14:paraId="7DFFFACD">
      <w:pPr>
        <w:pStyle w:val="13"/>
      </w:pPr>
      <w:r>
        <w:drawing>
          <wp:inline distT="0" distB="0" distL="114300" distR="114300">
            <wp:extent cx="2419350" cy="1485900"/>
            <wp:effectExtent l="0" t="0" r="0" b="0"/>
            <wp:docPr id="12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D1FA471">
      <w:pPr>
        <w:pStyle w:val="13"/>
      </w:pPr>
      <w:r>
        <w:rPr>
          <w:rFonts w:hint="eastAsia"/>
          <w:b/>
          <w:bCs/>
        </w:rPr>
        <w:t>只显示明细：</w:t>
      </w:r>
      <w:r>
        <w:t xml:space="preserve"> </w:t>
      </w:r>
      <w:r>
        <w:rPr>
          <w:rFonts w:hint="eastAsia"/>
        </w:rPr>
        <w:t>显示明细数据，形成多条记录；</w:t>
      </w:r>
    </w:p>
    <w:p w14:paraId="6C512848">
      <w:pPr>
        <w:pStyle w:val="13"/>
      </w:pPr>
      <w:r>
        <w:rPr>
          <w:rFonts w:hint="eastAsia"/>
          <w:b/>
          <w:bCs/>
        </w:rPr>
        <w:t>只显示小计：</w:t>
      </w:r>
      <w:r>
        <w:t xml:space="preserve"> </w:t>
      </w:r>
      <w:r>
        <w:rPr>
          <w:rFonts w:hint="eastAsia"/>
        </w:rPr>
        <w:t>显示小计数据，形成单条记录；</w:t>
      </w:r>
    </w:p>
    <w:p w14:paraId="5A8F1825">
      <w:pPr>
        <w:pStyle w:val="13"/>
      </w:pPr>
      <w:r>
        <w:rPr>
          <w:rFonts w:hint="eastAsia"/>
          <w:b/>
          <w:bCs/>
        </w:rPr>
        <w:t>显示明细和小计：</w:t>
      </w:r>
      <w:r>
        <w:t xml:space="preserve"> </w:t>
      </w:r>
      <w:r>
        <w:rPr>
          <w:rFonts w:hint="eastAsia"/>
        </w:rPr>
        <w:t>显示明细数据和小计数据；</w:t>
      </w:r>
    </w:p>
    <w:p w14:paraId="6E7C432D">
      <w:pPr>
        <w:pStyle w:val="27"/>
        <w:numPr>
          <w:ilvl w:val="0"/>
          <w:numId w:val="14"/>
        </w:numPr>
      </w:pPr>
      <w:r>
        <w:rPr>
          <w:rFonts w:hint="eastAsia"/>
        </w:rPr>
        <w:t>区分投保套</w:t>
      </w:r>
    </w:p>
    <w:p w14:paraId="284791DD">
      <w:pPr>
        <w:pStyle w:val="13"/>
      </w:pPr>
      <w:r>
        <w:drawing>
          <wp:inline distT="0" distB="0" distL="114300" distR="114300">
            <wp:extent cx="2466975" cy="1247775"/>
            <wp:effectExtent l="0" t="0" r="0" b="0"/>
            <wp:docPr id="12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AAF8E0A">
      <w:pPr>
        <w:pStyle w:val="13"/>
      </w:pPr>
      <w:r>
        <w:rPr>
          <w:rFonts w:hint="eastAsia"/>
          <w:b/>
          <w:bCs/>
        </w:rPr>
        <w:t>不区分：</w:t>
      </w:r>
      <w:r>
        <w:t xml:space="preserve"> </w:t>
      </w:r>
      <w:r>
        <w:rPr>
          <w:rFonts w:hint="eastAsia"/>
        </w:rPr>
        <w:t>不同投保标志的合并统计；</w:t>
      </w:r>
    </w:p>
    <w:p w14:paraId="0CF4CDCA">
      <w:pPr>
        <w:pStyle w:val="13"/>
      </w:pPr>
      <w:r>
        <w:rPr>
          <w:rFonts w:hint="eastAsia"/>
          <w:b/>
          <w:bCs/>
        </w:rPr>
        <w:t>区分：</w:t>
      </w:r>
      <w:r>
        <w:t xml:space="preserve"> </w:t>
      </w:r>
      <w:r>
        <w:rPr>
          <w:rFonts w:hint="eastAsia"/>
        </w:rPr>
        <w:t>不同投保标志的分开单独统计；</w:t>
      </w:r>
    </w:p>
    <w:p w14:paraId="4F5260E0">
      <w:pPr>
        <w:pStyle w:val="27"/>
        <w:numPr>
          <w:ilvl w:val="0"/>
          <w:numId w:val="15"/>
        </w:numPr>
      </w:pPr>
      <w:r>
        <w:rPr>
          <w:rFonts w:hint="eastAsia"/>
        </w:rPr>
        <w:t>机构类型</w:t>
      </w:r>
    </w:p>
    <w:p w14:paraId="15B4EA34">
      <w:pPr>
        <w:pStyle w:val="13"/>
      </w:pPr>
      <w:r>
        <w:drawing>
          <wp:inline distT="0" distB="0" distL="114300" distR="114300">
            <wp:extent cx="2286000" cy="1847850"/>
            <wp:effectExtent l="0" t="0" r="0" b="0"/>
            <wp:docPr id="126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A0F7F6">
      <w:pPr>
        <w:pStyle w:val="13"/>
      </w:pPr>
      <w:r>
        <w:rPr>
          <w:rFonts w:hint="eastAsia"/>
        </w:rPr>
        <w:t>按组织架构：组织架构树中的叶子节点；</w:t>
      </w:r>
    </w:p>
    <w:p w14:paraId="1927EDA0">
      <w:pPr>
        <w:pStyle w:val="13"/>
      </w:pPr>
      <w:r>
        <w:rPr>
          <w:rFonts w:hint="eastAsia"/>
        </w:rPr>
        <w:t>二级部门：组织架构中的二级部门；</w:t>
      </w:r>
    </w:p>
    <w:p w14:paraId="7399A638">
      <w:pPr>
        <w:pStyle w:val="13"/>
      </w:pPr>
      <w:r>
        <w:rPr>
          <w:rFonts w:hint="eastAsia"/>
        </w:rPr>
        <w:t>营业部：组织架构中的营业部；</w:t>
      </w:r>
    </w:p>
    <w:p w14:paraId="6F5BECC5">
      <w:pPr>
        <w:pStyle w:val="13"/>
      </w:pPr>
      <w:r>
        <w:rPr>
          <w:rFonts w:hint="eastAsia"/>
        </w:rPr>
        <w:t>公司：一般针对组织架构中的一级部门；</w:t>
      </w:r>
    </w:p>
    <w:p w14:paraId="7DD44B90">
      <w:pPr>
        <w:pStyle w:val="13"/>
      </w:pPr>
      <w:r>
        <w:rPr>
          <w:rFonts w:hint="eastAsia"/>
          <w:b/>
          <w:bCs/>
        </w:rPr>
        <w:t>注：</w:t>
      </w:r>
    </w:p>
    <w:p w14:paraId="41A85BE9">
      <w:pPr>
        <w:pStyle w:val="13"/>
      </w:pPr>
      <w:r>
        <w:rPr>
          <w:rFonts w:hint="eastAsia"/>
        </w:rPr>
        <w:t>【营业部管理】中的自定义营业部统计口径就是应用在这个筛选条件中，按统计归属来合并展示部门数据；</w:t>
      </w:r>
    </w:p>
    <w:p w14:paraId="51C72C3F">
      <w:pPr>
        <w:pStyle w:val="27"/>
        <w:numPr>
          <w:ilvl w:val="0"/>
          <w:numId w:val="16"/>
        </w:numPr>
      </w:pPr>
      <w:r>
        <w:rPr>
          <w:rFonts w:hint="eastAsia"/>
        </w:rPr>
        <w:t>投资者属性</w:t>
      </w:r>
    </w:p>
    <w:p w14:paraId="0DFDCA14">
      <w:pPr>
        <w:pStyle w:val="13"/>
      </w:pPr>
      <w:r>
        <w:rPr>
          <w:rFonts w:hint="eastAsia"/>
        </w:rPr>
        <w:t>根据系统定义投资者属性，选定某类同一属性投资者进行查询。</w:t>
      </w:r>
    </w:p>
    <w:p w14:paraId="2671D126">
      <w:pPr>
        <w:pStyle w:val="13"/>
      </w:pPr>
      <w:r>
        <w:drawing>
          <wp:inline distT="0" distB="0" distL="114300" distR="114300">
            <wp:extent cx="3686175" cy="2876550"/>
            <wp:effectExtent l="0" t="0" r="0" b="0"/>
            <wp:docPr id="12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30"/>
    <w:p w14:paraId="50CA616B">
      <w:pPr>
        <w:pStyle w:val="5"/>
      </w:pPr>
      <w:bookmarkStart w:id="31" w:name="_Toc8793"/>
      <w:bookmarkStart w:id="32" w:name="交易统计表查询示例"/>
      <w:r>
        <w:rPr>
          <w:rFonts w:hint="eastAsia"/>
        </w:rPr>
        <w:t>交易统计表查询示例</w:t>
      </w:r>
      <w:bookmarkEnd w:id="31"/>
    </w:p>
    <w:p w14:paraId="0128087A">
      <w:pPr>
        <w:pStyle w:val="26"/>
      </w:pPr>
      <w:r>
        <w:rPr>
          <w:rFonts w:hint="eastAsia"/>
          <w:b/>
          <w:bCs/>
        </w:rPr>
        <w:t>“XX期货公司XX营业部，2023年1月，自然人，在上期所的汇总手续费是多少？”</w:t>
      </w:r>
    </w:p>
    <w:p w14:paraId="1326B6DE">
      <w:pPr>
        <w:pStyle w:val="3"/>
      </w:pPr>
      <w:r>
        <w:drawing>
          <wp:inline distT="0" distB="0" distL="114300" distR="114300">
            <wp:extent cx="5334000" cy="2787015"/>
            <wp:effectExtent l="0" t="0" r="0" b="0"/>
            <wp:docPr id="13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787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4"/>
    <w:bookmarkEnd w:id="32"/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A991"/>
    <w:multiLevelType w:val="multilevel"/>
    <w:tmpl w:val="0000A991"/>
    <w:lvl w:ilvl="0" w:tentative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cs="Symbol"/>
      </w:rPr>
    </w:lvl>
    <w:lvl w:ilvl="1" w:tentative="0">
      <w:start w:val="0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0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entative="0">
      <w:start w:val="0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entative="0">
      <w:start w:val="0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0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entative="0">
      <w:start w:val="0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entative="0">
      <w:start w:val="0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0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1">
    <w:nsid w:val="00A99421"/>
    <w:multiLevelType w:val="multilevel"/>
    <w:tmpl w:val="00A99421"/>
    <w:lvl w:ilvl="0" w:tentative="0">
      <w:start w:val="1"/>
      <w:numFmt w:val="decimal"/>
      <w:lvlText w:val="%1)"/>
      <w:lvlJc w:val="left"/>
      <w:pPr>
        <w:ind w:left="720" w:hanging="360"/>
      </w:pPr>
    </w:lvl>
    <w:lvl w:ilvl="1" w:tentative="0">
      <w:start w:val="1"/>
      <w:numFmt w:val="decimal"/>
      <w:lvlText w:val="%2)"/>
      <w:lvlJc w:val="left"/>
      <w:pPr>
        <w:ind w:left="1440" w:hanging="360"/>
      </w:pPr>
    </w:lvl>
    <w:lvl w:ilvl="2" w:tentative="0">
      <w:start w:val="1"/>
      <w:numFmt w:val="decimal"/>
      <w:lvlText w:val="%3)"/>
      <w:lvlJc w:val="left"/>
      <w:pPr>
        <w:ind w:left="2160" w:hanging="360"/>
      </w:pPr>
    </w:lvl>
    <w:lvl w:ilvl="3" w:tentative="0">
      <w:start w:val="1"/>
      <w:numFmt w:val="decimal"/>
      <w:lvlText w:val="%4)"/>
      <w:lvlJc w:val="left"/>
      <w:pPr>
        <w:ind w:left="2880" w:hanging="360"/>
      </w:pPr>
    </w:lvl>
    <w:lvl w:ilvl="4" w:tentative="0">
      <w:start w:val="1"/>
      <w:numFmt w:val="decimal"/>
      <w:lvlText w:val="%5)"/>
      <w:lvlJc w:val="left"/>
      <w:pPr>
        <w:ind w:left="3600" w:hanging="360"/>
      </w:pPr>
    </w:lvl>
    <w:lvl w:ilvl="5" w:tentative="0">
      <w:start w:val="1"/>
      <w:numFmt w:val="decimal"/>
      <w:lvlText w:val="%6)"/>
      <w:lvlJc w:val="left"/>
      <w:pPr>
        <w:ind w:left="4320" w:hanging="360"/>
      </w:pPr>
    </w:lvl>
    <w:lvl w:ilvl="6" w:tentative="0">
      <w:start w:val="1"/>
      <w:numFmt w:val="decimal"/>
      <w:lvlText w:val="%7)"/>
      <w:lvlJc w:val="left"/>
      <w:pPr>
        <w:ind w:left="5040" w:hanging="360"/>
      </w:pPr>
    </w:lvl>
    <w:lvl w:ilvl="7" w:tentative="0">
      <w:start w:val="1"/>
      <w:numFmt w:val="decimal"/>
      <w:lvlText w:val="%8)"/>
      <w:lvlJc w:val="left"/>
      <w:pPr>
        <w:ind w:left="5760" w:hanging="360"/>
      </w:pPr>
    </w:lvl>
    <w:lvl w:ilvl="8" w:tentative="0">
      <w:start w:val="1"/>
      <w:numFmt w:val="decimal"/>
      <w:lvlText w:val="%9)"/>
      <w:lvlJc w:val="left"/>
      <w:pPr>
        <w:ind w:left="6480" w:hanging="360"/>
      </w:pPr>
    </w:lvl>
  </w:abstractNum>
  <w:abstractNum w:abstractNumId="2">
    <w:nsid w:val="00A99423"/>
    <w:multiLevelType w:val="multilevel"/>
    <w:tmpl w:val="00A99423"/>
    <w:lvl w:ilvl="0" w:tentative="0">
      <w:start w:val="3"/>
      <w:numFmt w:val="decimal"/>
      <w:lvlText w:val="%1)"/>
      <w:lvlJc w:val="left"/>
      <w:pPr>
        <w:ind w:left="720" w:hanging="360"/>
      </w:pPr>
    </w:lvl>
    <w:lvl w:ilvl="1" w:tentative="0">
      <w:start w:val="3"/>
      <w:numFmt w:val="decimal"/>
      <w:lvlText w:val="%2)"/>
      <w:lvlJc w:val="left"/>
      <w:pPr>
        <w:ind w:left="1440" w:hanging="360"/>
      </w:pPr>
    </w:lvl>
    <w:lvl w:ilvl="2" w:tentative="0">
      <w:start w:val="3"/>
      <w:numFmt w:val="decimal"/>
      <w:lvlText w:val="%3)"/>
      <w:lvlJc w:val="left"/>
      <w:pPr>
        <w:ind w:left="2160" w:hanging="360"/>
      </w:pPr>
    </w:lvl>
    <w:lvl w:ilvl="3" w:tentative="0">
      <w:start w:val="3"/>
      <w:numFmt w:val="decimal"/>
      <w:lvlText w:val="%4)"/>
      <w:lvlJc w:val="left"/>
      <w:pPr>
        <w:ind w:left="2880" w:hanging="360"/>
      </w:pPr>
    </w:lvl>
    <w:lvl w:ilvl="4" w:tentative="0">
      <w:start w:val="3"/>
      <w:numFmt w:val="decimal"/>
      <w:lvlText w:val="%5)"/>
      <w:lvlJc w:val="left"/>
      <w:pPr>
        <w:ind w:left="3600" w:hanging="360"/>
      </w:pPr>
    </w:lvl>
    <w:lvl w:ilvl="5" w:tentative="0">
      <w:start w:val="3"/>
      <w:numFmt w:val="decimal"/>
      <w:lvlText w:val="%6)"/>
      <w:lvlJc w:val="left"/>
      <w:pPr>
        <w:ind w:left="4320" w:hanging="360"/>
      </w:pPr>
    </w:lvl>
    <w:lvl w:ilvl="6" w:tentative="0">
      <w:start w:val="3"/>
      <w:numFmt w:val="decimal"/>
      <w:lvlText w:val="%7)"/>
      <w:lvlJc w:val="left"/>
      <w:pPr>
        <w:ind w:left="5040" w:hanging="360"/>
      </w:pPr>
    </w:lvl>
    <w:lvl w:ilvl="7" w:tentative="0">
      <w:start w:val="3"/>
      <w:numFmt w:val="decimal"/>
      <w:lvlText w:val="%8)"/>
      <w:lvlJc w:val="left"/>
      <w:pPr>
        <w:ind w:left="5760" w:hanging="360"/>
      </w:pPr>
    </w:lvl>
    <w:lvl w:ilvl="8" w:tentative="0">
      <w:start w:val="3"/>
      <w:numFmt w:val="decimal"/>
      <w:lvlText w:val="%9)"/>
      <w:lvlJc w:val="left"/>
      <w:pPr>
        <w:ind w:left="6480" w:hanging="360"/>
      </w:pPr>
    </w:lvl>
  </w:abstractNum>
  <w:abstractNum w:abstractNumId="3">
    <w:nsid w:val="00A99424"/>
    <w:multiLevelType w:val="multilevel"/>
    <w:tmpl w:val="00A99424"/>
    <w:lvl w:ilvl="0" w:tentative="0">
      <w:start w:val="4"/>
      <w:numFmt w:val="decimal"/>
      <w:lvlText w:val="%1)"/>
      <w:lvlJc w:val="left"/>
      <w:pPr>
        <w:ind w:left="720" w:hanging="360"/>
      </w:pPr>
    </w:lvl>
    <w:lvl w:ilvl="1" w:tentative="0">
      <w:start w:val="4"/>
      <w:numFmt w:val="decimal"/>
      <w:lvlText w:val="%2)"/>
      <w:lvlJc w:val="left"/>
      <w:pPr>
        <w:ind w:left="1440" w:hanging="360"/>
      </w:pPr>
    </w:lvl>
    <w:lvl w:ilvl="2" w:tentative="0">
      <w:start w:val="4"/>
      <w:numFmt w:val="decimal"/>
      <w:lvlText w:val="%3)"/>
      <w:lvlJc w:val="left"/>
      <w:pPr>
        <w:ind w:left="2160" w:hanging="360"/>
      </w:pPr>
    </w:lvl>
    <w:lvl w:ilvl="3" w:tentative="0">
      <w:start w:val="4"/>
      <w:numFmt w:val="decimal"/>
      <w:lvlText w:val="%4)"/>
      <w:lvlJc w:val="left"/>
      <w:pPr>
        <w:ind w:left="2880" w:hanging="360"/>
      </w:pPr>
    </w:lvl>
    <w:lvl w:ilvl="4" w:tentative="0">
      <w:start w:val="4"/>
      <w:numFmt w:val="decimal"/>
      <w:lvlText w:val="%5)"/>
      <w:lvlJc w:val="left"/>
      <w:pPr>
        <w:ind w:left="3600" w:hanging="360"/>
      </w:pPr>
    </w:lvl>
    <w:lvl w:ilvl="5" w:tentative="0">
      <w:start w:val="4"/>
      <w:numFmt w:val="decimal"/>
      <w:lvlText w:val="%6)"/>
      <w:lvlJc w:val="left"/>
      <w:pPr>
        <w:ind w:left="4320" w:hanging="360"/>
      </w:pPr>
    </w:lvl>
    <w:lvl w:ilvl="6" w:tentative="0">
      <w:start w:val="4"/>
      <w:numFmt w:val="decimal"/>
      <w:lvlText w:val="%7)"/>
      <w:lvlJc w:val="left"/>
      <w:pPr>
        <w:ind w:left="5040" w:hanging="360"/>
      </w:pPr>
    </w:lvl>
    <w:lvl w:ilvl="7" w:tentative="0">
      <w:start w:val="4"/>
      <w:numFmt w:val="decimal"/>
      <w:lvlText w:val="%8)"/>
      <w:lvlJc w:val="left"/>
      <w:pPr>
        <w:ind w:left="5760" w:hanging="360"/>
      </w:pPr>
    </w:lvl>
    <w:lvl w:ilvl="8" w:tentative="0">
      <w:start w:val="4"/>
      <w:numFmt w:val="decimal"/>
      <w:lvlText w:val="%9)"/>
      <w:lvlJc w:val="left"/>
      <w:pPr>
        <w:ind w:left="6480" w:hanging="360"/>
      </w:pPr>
    </w:lvl>
  </w:abstractNum>
  <w:abstractNum w:abstractNumId="4">
    <w:nsid w:val="00A99425"/>
    <w:multiLevelType w:val="multilevel"/>
    <w:tmpl w:val="00A99425"/>
    <w:lvl w:ilvl="0" w:tentative="0">
      <w:start w:val="5"/>
      <w:numFmt w:val="decimal"/>
      <w:lvlText w:val="%1)"/>
      <w:lvlJc w:val="left"/>
      <w:pPr>
        <w:ind w:left="720" w:hanging="360"/>
      </w:pPr>
    </w:lvl>
    <w:lvl w:ilvl="1" w:tentative="0">
      <w:start w:val="5"/>
      <w:numFmt w:val="decimal"/>
      <w:lvlText w:val="%2)"/>
      <w:lvlJc w:val="left"/>
      <w:pPr>
        <w:ind w:left="1440" w:hanging="360"/>
      </w:pPr>
    </w:lvl>
    <w:lvl w:ilvl="2" w:tentative="0">
      <w:start w:val="5"/>
      <w:numFmt w:val="decimal"/>
      <w:lvlText w:val="%3)"/>
      <w:lvlJc w:val="left"/>
      <w:pPr>
        <w:ind w:left="2160" w:hanging="360"/>
      </w:pPr>
    </w:lvl>
    <w:lvl w:ilvl="3" w:tentative="0">
      <w:start w:val="5"/>
      <w:numFmt w:val="decimal"/>
      <w:lvlText w:val="%4)"/>
      <w:lvlJc w:val="left"/>
      <w:pPr>
        <w:ind w:left="2880" w:hanging="360"/>
      </w:pPr>
    </w:lvl>
    <w:lvl w:ilvl="4" w:tentative="0">
      <w:start w:val="5"/>
      <w:numFmt w:val="decimal"/>
      <w:lvlText w:val="%5)"/>
      <w:lvlJc w:val="left"/>
      <w:pPr>
        <w:ind w:left="3600" w:hanging="360"/>
      </w:pPr>
    </w:lvl>
    <w:lvl w:ilvl="5" w:tentative="0">
      <w:start w:val="5"/>
      <w:numFmt w:val="decimal"/>
      <w:lvlText w:val="%6)"/>
      <w:lvlJc w:val="left"/>
      <w:pPr>
        <w:ind w:left="4320" w:hanging="360"/>
      </w:pPr>
    </w:lvl>
    <w:lvl w:ilvl="6" w:tentative="0">
      <w:start w:val="5"/>
      <w:numFmt w:val="decimal"/>
      <w:lvlText w:val="%7)"/>
      <w:lvlJc w:val="left"/>
      <w:pPr>
        <w:ind w:left="5040" w:hanging="360"/>
      </w:pPr>
    </w:lvl>
    <w:lvl w:ilvl="7" w:tentative="0">
      <w:start w:val="5"/>
      <w:numFmt w:val="decimal"/>
      <w:lvlText w:val="%8)"/>
      <w:lvlJc w:val="left"/>
      <w:pPr>
        <w:ind w:left="5760" w:hanging="360"/>
      </w:pPr>
    </w:lvl>
    <w:lvl w:ilvl="8" w:tentative="0">
      <w:start w:val="5"/>
      <w:numFmt w:val="decimal"/>
      <w:lvlText w:val="%9)"/>
      <w:lvlJc w:val="left"/>
      <w:pPr>
        <w:ind w:left="6480" w:hanging="360"/>
      </w:pPr>
    </w:lvl>
  </w:abstractNum>
  <w:abstractNum w:abstractNumId="5">
    <w:nsid w:val="00A99426"/>
    <w:multiLevelType w:val="multilevel"/>
    <w:tmpl w:val="00A99426"/>
    <w:lvl w:ilvl="0" w:tentative="0">
      <w:start w:val="6"/>
      <w:numFmt w:val="decimal"/>
      <w:lvlText w:val="%1)"/>
      <w:lvlJc w:val="left"/>
      <w:pPr>
        <w:ind w:left="720" w:hanging="360"/>
      </w:pPr>
    </w:lvl>
    <w:lvl w:ilvl="1" w:tentative="0">
      <w:start w:val="6"/>
      <w:numFmt w:val="decimal"/>
      <w:lvlText w:val="%2)"/>
      <w:lvlJc w:val="left"/>
      <w:pPr>
        <w:ind w:left="1440" w:hanging="360"/>
      </w:pPr>
    </w:lvl>
    <w:lvl w:ilvl="2" w:tentative="0">
      <w:start w:val="6"/>
      <w:numFmt w:val="decimal"/>
      <w:lvlText w:val="%3)"/>
      <w:lvlJc w:val="left"/>
      <w:pPr>
        <w:ind w:left="2160" w:hanging="360"/>
      </w:pPr>
    </w:lvl>
    <w:lvl w:ilvl="3" w:tentative="0">
      <w:start w:val="6"/>
      <w:numFmt w:val="decimal"/>
      <w:lvlText w:val="%4)"/>
      <w:lvlJc w:val="left"/>
      <w:pPr>
        <w:ind w:left="2880" w:hanging="360"/>
      </w:pPr>
    </w:lvl>
    <w:lvl w:ilvl="4" w:tentative="0">
      <w:start w:val="6"/>
      <w:numFmt w:val="decimal"/>
      <w:lvlText w:val="%5)"/>
      <w:lvlJc w:val="left"/>
      <w:pPr>
        <w:ind w:left="3600" w:hanging="360"/>
      </w:pPr>
    </w:lvl>
    <w:lvl w:ilvl="5" w:tentative="0">
      <w:start w:val="6"/>
      <w:numFmt w:val="decimal"/>
      <w:lvlText w:val="%6)"/>
      <w:lvlJc w:val="left"/>
      <w:pPr>
        <w:ind w:left="4320" w:hanging="360"/>
      </w:pPr>
    </w:lvl>
    <w:lvl w:ilvl="6" w:tentative="0">
      <w:start w:val="6"/>
      <w:numFmt w:val="decimal"/>
      <w:lvlText w:val="%7)"/>
      <w:lvlJc w:val="left"/>
      <w:pPr>
        <w:ind w:left="5040" w:hanging="360"/>
      </w:pPr>
    </w:lvl>
    <w:lvl w:ilvl="7" w:tentative="0">
      <w:start w:val="6"/>
      <w:numFmt w:val="decimal"/>
      <w:lvlText w:val="%8)"/>
      <w:lvlJc w:val="left"/>
      <w:pPr>
        <w:ind w:left="5760" w:hanging="360"/>
      </w:pPr>
    </w:lvl>
    <w:lvl w:ilvl="8" w:tentative="0">
      <w:start w:val="6"/>
      <w:numFmt w:val="decimal"/>
      <w:lvlText w:val="%9)"/>
      <w:lvlJc w:val="left"/>
      <w:pPr>
        <w:ind w:left="6480" w:hanging="360"/>
      </w:pPr>
    </w:lvl>
  </w:abstractNum>
  <w:abstractNum w:abstractNumId="6">
    <w:nsid w:val="00A99427"/>
    <w:multiLevelType w:val="multilevel"/>
    <w:tmpl w:val="00A99427"/>
    <w:lvl w:ilvl="0" w:tentative="0">
      <w:start w:val="7"/>
      <w:numFmt w:val="decimal"/>
      <w:lvlText w:val="%1)"/>
      <w:lvlJc w:val="left"/>
      <w:pPr>
        <w:ind w:left="720" w:hanging="360"/>
      </w:pPr>
    </w:lvl>
    <w:lvl w:ilvl="1" w:tentative="0">
      <w:start w:val="7"/>
      <w:numFmt w:val="decimal"/>
      <w:lvlText w:val="%2)"/>
      <w:lvlJc w:val="left"/>
      <w:pPr>
        <w:ind w:left="1440" w:hanging="360"/>
      </w:pPr>
    </w:lvl>
    <w:lvl w:ilvl="2" w:tentative="0">
      <w:start w:val="7"/>
      <w:numFmt w:val="decimal"/>
      <w:lvlText w:val="%3)"/>
      <w:lvlJc w:val="left"/>
      <w:pPr>
        <w:ind w:left="2160" w:hanging="360"/>
      </w:pPr>
    </w:lvl>
    <w:lvl w:ilvl="3" w:tentative="0">
      <w:start w:val="7"/>
      <w:numFmt w:val="decimal"/>
      <w:lvlText w:val="%4)"/>
      <w:lvlJc w:val="left"/>
      <w:pPr>
        <w:ind w:left="2880" w:hanging="360"/>
      </w:pPr>
    </w:lvl>
    <w:lvl w:ilvl="4" w:tentative="0">
      <w:start w:val="7"/>
      <w:numFmt w:val="decimal"/>
      <w:lvlText w:val="%5)"/>
      <w:lvlJc w:val="left"/>
      <w:pPr>
        <w:ind w:left="3600" w:hanging="360"/>
      </w:pPr>
    </w:lvl>
    <w:lvl w:ilvl="5" w:tentative="0">
      <w:start w:val="7"/>
      <w:numFmt w:val="decimal"/>
      <w:lvlText w:val="%6)"/>
      <w:lvlJc w:val="left"/>
      <w:pPr>
        <w:ind w:left="4320" w:hanging="360"/>
      </w:pPr>
    </w:lvl>
    <w:lvl w:ilvl="6" w:tentative="0">
      <w:start w:val="7"/>
      <w:numFmt w:val="decimal"/>
      <w:lvlText w:val="%7)"/>
      <w:lvlJc w:val="left"/>
      <w:pPr>
        <w:ind w:left="5040" w:hanging="360"/>
      </w:pPr>
    </w:lvl>
    <w:lvl w:ilvl="7" w:tentative="0">
      <w:start w:val="7"/>
      <w:numFmt w:val="decimal"/>
      <w:lvlText w:val="%8)"/>
      <w:lvlJc w:val="left"/>
      <w:pPr>
        <w:ind w:left="5760" w:hanging="360"/>
      </w:pPr>
    </w:lvl>
    <w:lvl w:ilvl="8" w:tentative="0">
      <w:start w:val="7"/>
      <w:numFmt w:val="decimal"/>
      <w:lvlText w:val="%9)"/>
      <w:lvlJc w:val="left"/>
      <w:pPr>
        <w:ind w:left="6480" w:hanging="360"/>
      </w:pPr>
    </w:lvl>
  </w:abstractNum>
  <w:abstractNum w:abstractNumId="7">
    <w:nsid w:val="00A99428"/>
    <w:multiLevelType w:val="multilevel"/>
    <w:tmpl w:val="00A99428"/>
    <w:lvl w:ilvl="0" w:tentative="0">
      <w:start w:val="8"/>
      <w:numFmt w:val="decimal"/>
      <w:lvlText w:val="%1)"/>
      <w:lvlJc w:val="left"/>
      <w:pPr>
        <w:ind w:left="720" w:hanging="360"/>
      </w:pPr>
    </w:lvl>
    <w:lvl w:ilvl="1" w:tentative="0">
      <w:start w:val="8"/>
      <w:numFmt w:val="decimal"/>
      <w:lvlText w:val="%2)"/>
      <w:lvlJc w:val="left"/>
      <w:pPr>
        <w:ind w:left="1440" w:hanging="360"/>
      </w:pPr>
    </w:lvl>
    <w:lvl w:ilvl="2" w:tentative="0">
      <w:start w:val="8"/>
      <w:numFmt w:val="decimal"/>
      <w:lvlText w:val="%3)"/>
      <w:lvlJc w:val="left"/>
      <w:pPr>
        <w:ind w:left="2160" w:hanging="360"/>
      </w:pPr>
    </w:lvl>
    <w:lvl w:ilvl="3" w:tentative="0">
      <w:start w:val="8"/>
      <w:numFmt w:val="decimal"/>
      <w:lvlText w:val="%4)"/>
      <w:lvlJc w:val="left"/>
      <w:pPr>
        <w:ind w:left="2880" w:hanging="360"/>
      </w:pPr>
    </w:lvl>
    <w:lvl w:ilvl="4" w:tentative="0">
      <w:start w:val="8"/>
      <w:numFmt w:val="decimal"/>
      <w:lvlText w:val="%5)"/>
      <w:lvlJc w:val="left"/>
      <w:pPr>
        <w:ind w:left="3600" w:hanging="360"/>
      </w:pPr>
    </w:lvl>
    <w:lvl w:ilvl="5" w:tentative="0">
      <w:start w:val="8"/>
      <w:numFmt w:val="decimal"/>
      <w:lvlText w:val="%6)"/>
      <w:lvlJc w:val="left"/>
      <w:pPr>
        <w:ind w:left="4320" w:hanging="360"/>
      </w:pPr>
    </w:lvl>
    <w:lvl w:ilvl="6" w:tentative="0">
      <w:start w:val="8"/>
      <w:numFmt w:val="decimal"/>
      <w:lvlText w:val="%7)"/>
      <w:lvlJc w:val="left"/>
      <w:pPr>
        <w:ind w:left="5040" w:hanging="360"/>
      </w:pPr>
    </w:lvl>
    <w:lvl w:ilvl="7" w:tentative="0">
      <w:start w:val="8"/>
      <w:numFmt w:val="decimal"/>
      <w:lvlText w:val="%8)"/>
      <w:lvlJc w:val="left"/>
      <w:pPr>
        <w:ind w:left="5760" w:hanging="360"/>
      </w:pPr>
    </w:lvl>
    <w:lvl w:ilvl="8" w:tentative="0">
      <w:start w:val="8"/>
      <w:numFmt w:val="decimal"/>
      <w:lvlText w:val="%9)"/>
      <w:lvlJc w:val="left"/>
      <w:pPr>
        <w:ind w:left="6480" w:hanging="360"/>
      </w:pPr>
    </w:lvl>
  </w:abstractNum>
  <w:abstractNum w:abstractNumId="8">
    <w:nsid w:val="00A99429"/>
    <w:multiLevelType w:val="multilevel"/>
    <w:tmpl w:val="00A99429"/>
    <w:lvl w:ilvl="0" w:tentative="0">
      <w:start w:val="9"/>
      <w:numFmt w:val="decimal"/>
      <w:lvlText w:val="%1)"/>
      <w:lvlJc w:val="left"/>
      <w:pPr>
        <w:ind w:left="720" w:hanging="360"/>
      </w:pPr>
    </w:lvl>
    <w:lvl w:ilvl="1" w:tentative="0">
      <w:start w:val="9"/>
      <w:numFmt w:val="decimal"/>
      <w:lvlText w:val="%2)"/>
      <w:lvlJc w:val="left"/>
      <w:pPr>
        <w:ind w:left="1440" w:hanging="360"/>
      </w:pPr>
    </w:lvl>
    <w:lvl w:ilvl="2" w:tentative="0">
      <w:start w:val="9"/>
      <w:numFmt w:val="decimal"/>
      <w:lvlText w:val="%3)"/>
      <w:lvlJc w:val="left"/>
      <w:pPr>
        <w:ind w:left="2160" w:hanging="360"/>
      </w:pPr>
    </w:lvl>
    <w:lvl w:ilvl="3" w:tentative="0">
      <w:start w:val="9"/>
      <w:numFmt w:val="decimal"/>
      <w:lvlText w:val="%4)"/>
      <w:lvlJc w:val="left"/>
      <w:pPr>
        <w:ind w:left="2880" w:hanging="360"/>
      </w:pPr>
    </w:lvl>
    <w:lvl w:ilvl="4" w:tentative="0">
      <w:start w:val="9"/>
      <w:numFmt w:val="decimal"/>
      <w:lvlText w:val="%5)"/>
      <w:lvlJc w:val="left"/>
      <w:pPr>
        <w:ind w:left="3600" w:hanging="360"/>
      </w:pPr>
    </w:lvl>
    <w:lvl w:ilvl="5" w:tentative="0">
      <w:start w:val="9"/>
      <w:numFmt w:val="decimal"/>
      <w:lvlText w:val="%6)"/>
      <w:lvlJc w:val="left"/>
      <w:pPr>
        <w:ind w:left="4320" w:hanging="360"/>
      </w:pPr>
    </w:lvl>
    <w:lvl w:ilvl="6" w:tentative="0">
      <w:start w:val="9"/>
      <w:numFmt w:val="decimal"/>
      <w:lvlText w:val="%7)"/>
      <w:lvlJc w:val="left"/>
      <w:pPr>
        <w:ind w:left="5040" w:hanging="360"/>
      </w:pPr>
    </w:lvl>
    <w:lvl w:ilvl="7" w:tentative="0">
      <w:start w:val="9"/>
      <w:numFmt w:val="decimal"/>
      <w:lvlText w:val="%8)"/>
      <w:lvlJc w:val="left"/>
      <w:pPr>
        <w:ind w:left="5760" w:hanging="360"/>
      </w:pPr>
    </w:lvl>
    <w:lvl w:ilvl="8" w:tentative="0">
      <w:start w:val="9"/>
      <w:numFmt w:val="decimal"/>
      <w:lvlText w:val="%9)"/>
      <w:lvlJc w:val="left"/>
      <w:pPr>
        <w:ind w:left="6480" w:hanging="360"/>
      </w:pPr>
    </w:lvl>
  </w:abstractNum>
  <w:abstractNum w:abstractNumId="9">
    <w:nsid w:val="0A994210"/>
    <w:multiLevelType w:val="multilevel"/>
    <w:tmpl w:val="0A994210"/>
    <w:lvl w:ilvl="0" w:tentative="0">
      <w:start w:val="10"/>
      <w:numFmt w:val="decimal"/>
      <w:lvlText w:val="%1)"/>
      <w:lvlJc w:val="left"/>
      <w:pPr>
        <w:ind w:left="720" w:hanging="360"/>
      </w:pPr>
    </w:lvl>
    <w:lvl w:ilvl="1" w:tentative="0">
      <w:start w:val="10"/>
      <w:numFmt w:val="decimal"/>
      <w:lvlText w:val="%2)"/>
      <w:lvlJc w:val="left"/>
      <w:pPr>
        <w:ind w:left="1440" w:hanging="360"/>
      </w:pPr>
    </w:lvl>
    <w:lvl w:ilvl="2" w:tentative="0">
      <w:start w:val="10"/>
      <w:numFmt w:val="decimal"/>
      <w:lvlText w:val="%3)"/>
      <w:lvlJc w:val="left"/>
      <w:pPr>
        <w:ind w:left="2160" w:hanging="360"/>
      </w:pPr>
    </w:lvl>
    <w:lvl w:ilvl="3" w:tentative="0">
      <w:start w:val="10"/>
      <w:numFmt w:val="decimal"/>
      <w:lvlText w:val="%4)"/>
      <w:lvlJc w:val="left"/>
      <w:pPr>
        <w:ind w:left="2880" w:hanging="360"/>
      </w:pPr>
    </w:lvl>
    <w:lvl w:ilvl="4" w:tentative="0">
      <w:start w:val="10"/>
      <w:numFmt w:val="decimal"/>
      <w:lvlText w:val="%5)"/>
      <w:lvlJc w:val="left"/>
      <w:pPr>
        <w:ind w:left="3600" w:hanging="360"/>
      </w:pPr>
    </w:lvl>
    <w:lvl w:ilvl="5" w:tentative="0">
      <w:start w:val="10"/>
      <w:numFmt w:val="decimal"/>
      <w:lvlText w:val="%6)"/>
      <w:lvlJc w:val="left"/>
      <w:pPr>
        <w:ind w:left="4320" w:hanging="360"/>
      </w:pPr>
    </w:lvl>
    <w:lvl w:ilvl="6" w:tentative="0">
      <w:start w:val="10"/>
      <w:numFmt w:val="decimal"/>
      <w:lvlText w:val="%7)"/>
      <w:lvlJc w:val="left"/>
      <w:pPr>
        <w:ind w:left="5040" w:hanging="360"/>
      </w:pPr>
    </w:lvl>
    <w:lvl w:ilvl="7" w:tentative="0">
      <w:start w:val="10"/>
      <w:numFmt w:val="decimal"/>
      <w:lvlText w:val="%8)"/>
      <w:lvlJc w:val="left"/>
      <w:pPr>
        <w:ind w:left="5760" w:hanging="360"/>
      </w:pPr>
    </w:lvl>
    <w:lvl w:ilvl="8" w:tentative="0">
      <w:start w:val="10"/>
      <w:numFmt w:val="decimal"/>
      <w:lvlText w:val="%9)"/>
      <w:lvlJc w:val="left"/>
      <w:pPr>
        <w:ind w:left="6480" w:hanging="360"/>
      </w:pPr>
    </w:lvl>
  </w:abstractNum>
  <w:abstractNum w:abstractNumId="10">
    <w:nsid w:val="0A994211"/>
    <w:multiLevelType w:val="multilevel"/>
    <w:tmpl w:val="0A994211"/>
    <w:lvl w:ilvl="0" w:tentative="0">
      <w:start w:val="11"/>
      <w:numFmt w:val="decimal"/>
      <w:lvlText w:val="%1)"/>
      <w:lvlJc w:val="left"/>
      <w:pPr>
        <w:ind w:left="720" w:hanging="360"/>
      </w:pPr>
    </w:lvl>
    <w:lvl w:ilvl="1" w:tentative="0">
      <w:start w:val="11"/>
      <w:numFmt w:val="decimal"/>
      <w:lvlText w:val="%2)"/>
      <w:lvlJc w:val="left"/>
      <w:pPr>
        <w:ind w:left="1440" w:hanging="360"/>
      </w:pPr>
    </w:lvl>
    <w:lvl w:ilvl="2" w:tentative="0">
      <w:start w:val="11"/>
      <w:numFmt w:val="decimal"/>
      <w:lvlText w:val="%3)"/>
      <w:lvlJc w:val="left"/>
      <w:pPr>
        <w:ind w:left="2160" w:hanging="360"/>
      </w:pPr>
    </w:lvl>
    <w:lvl w:ilvl="3" w:tentative="0">
      <w:start w:val="11"/>
      <w:numFmt w:val="decimal"/>
      <w:lvlText w:val="%4)"/>
      <w:lvlJc w:val="left"/>
      <w:pPr>
        <w:ind w:left="2880" w:hanging="360"/>
      </w:pPr>
    </w:lvl>
    <w:lvl w:ilvl="4" w:tentative="0">
      <w:start w:val="11"/>
      <w:numFmt w:val="decimal"/>
      <w:lvlText w:val="%5)"/>
      <w:lvlJc w:val="left"/>
      <w:pPr>
        <w:ind w:left="3600" w:hanging="360"/>
      </w:pPr>
    </w:lvl>
    <w:lvl w:ilvl="5" w:tentative="0">
      <w:start w:val="11"/>
      <w:numFmt w:val="decimal"/>
      <w:lvlText w:val="%6)"/>
      <w:lvlJc w:val="left"/>
      <w:pPr>
        <w:ind w:left="4320" w:hanging="360"/>
      </w:pPr>
    </w:lvl>
    <w:lvl w:ilvl="6" w:tentative="0">
      <w:start w:val="11"/>
      <w:numFmt w:val="decimal"/>
      <w:lvlText w:val="%7)"/>
      <w:lvlJc w:val="left"/>
      <w:pPr>
        <w:ind w:left="5040" w:hanging="360"/>
      </w:pPr>
    </w:lvl>
    <w:lvl w:ilvl="7" w:tentative="0">
      <w:start w:val="11"/>
      <w:numFmt w:val="decimal"/>
      <w:lvlText w:val="%8)"/>
      <w:lvlJc w:val="left"/>
      <w:pPr>
        <w:ind w:left="5760" w:hanging="360"/>
      </w:pPr>
    </w:lvl>
    <w:lvl w:ilvl="8" w:tentative="0">
      <w:start w:val="11"/>
      <w:numFmt w:val="decimal"/>
      <w:lvlText w:val="%9)"/>
      <w:lvlJc w:val="left"/>
      <w:pPr>
        <w:ind w:left="6480" w:hanging="360"/>
      </w:pPr>
    </w:lvl>
  </w:abstractNum>
  <w:abstractNum w:abstractNumId="11">
    <w:nsid w:val="0A994212"/>
    <w:multiLevelType w:val="multilevel"/>
    <w:tmpl w:val="0A994212"/>
    <w:lvl w:ilvl="0" w:tentative="0">
      <w:start w:val="12"/>
      <w:numFmt w:val="decimal"/>
      <w:lvlText w:val="%1)"/>
      <w:lvlJc w:val="left"/>
      <w:pPr>
        <w:ind w:left="720" w:hanging="360"/>
      </w:pPr>
    </w:lvl>
    <w:lvl w:ilvl="1" w:tentative="0">
      <w:start w:val="12"/>
      <w:numFmt w:val="decimal"/>
      <w:lvlText w:val="%2)"/>
      <w:lvlJc w:val="left"/>
      <w:pPr>
        <w:ind w:left="1440" w:hanging="360"/>
      </w:pPr>
    </w:lvl>
    <w:lvl w:ilvl="2" w:tentative="0">
      <w:start w:val="12"/>
      <w:numFmt w:val="decimal"/>
      <w:lvlText w:val="%3)"/>
      <w:lvlJc w:val="left"/>
      <w:pPr>
        <w:ind w:left="2160" w:hanging="360"/>
      </w:pPr>
    </w:lvl>
    <w:lvl w:ilvl="3" w:tentative="0">
      <w:start w:val="12"/>
      <w:numFmt w:val="decimal"/>
      <w:lvlText w:val="%4)"/>
      <w:lvlJc w:val="left"/>
      <w:pPr>
        <w:ind w:left="2880" w:hanging="360"/>
      </w:pPr>
    </w:lvl>
    <w:lvl w:ilvl="4" w:tentative="0">
      <w:start w:val="12"/>
      <w:numFmt w:val="decimal"/>
      <w:lvlText w:val="%5)"/>
      <w:lvlJc w:val="left"/>
      <w:pPr>
        <w:ind w:left="3600" w:hanging="360"/>
      </w:pPr>
    </w:lvl>
    <w:lvl w:ilvl="5" w:tentative="0">
      <w:start w:val="12"/>
      <w:numFmt w:val="decimal"/>
      <w:lvlText w:val="%6)"/>
      <w:lvlJc w:val="left"/>
      <w:pPr>
        <w:ind w:left="4320" w:hanging="360"/>
      </w:pPr>
    </w:lvl>
    <w:lvl w:ilvl="6" w:tentative="0">
      <w:start w:val="12"/>
      <w:numFmt w:val="decimal"/>
      <w:lvlText w:val="%7)"/>
      <w:lvlJc w:val="left"/>
      <w:pPr>
        <w:ind w:left="5040" w:hanging="360"/>
      </w:pPr>
    </w:lvl>
    <w:lvl w:ilvl="7" w:tentative="0">
      <w:start w:val="12"/>
      <w:numFmt w:val="decimal"/>
      <w:lvlText w:val="%8)"/>
      <w:lvlJc w:val="left"/>
      <w:pPr>
        <w:ind w:left="5760" w:hanging="360"/>
      </w:pPr>
    </w:lvl>
    <w:lvl w:ilvl="8" w:tentative="0">
      <w:start w:val="12"/>
      <w:numFmt w:val="decimal"/>
      <w:lvlText w:val="%9)"/>
      <w:lvlJc w:val="left"/>
      <w:pPr>
        <w:ind w:left="6480" w:hanging="360"/>
      </w:pPr>
    </w:lvl>
  </w:abstractNum>
  <w:abstractNum w:abstractNumId="12">
    <w:nsid w:val="0A994213"/>
    <w:multiLevelType w:val="multilevel"/>
    <w:tmpl w:val="0A994213"/>
    <w:lvl w:ilvl="0" w:tentative="0">
      <w:start w:val="13"/>
      <w:numFmt w:val="decimal"/>
      <w:lvlText w:val="%1)"/>
      <w:lvlJc w:val="left"/>
      <w:pPr>
        <w:ind w:left="720" w:hanging="360"/>
      </w:pPr>
    </w:lvl>
    <w:lvl w:ilvl="1" w:tentative="0">
      <w:start w:val="13"/>
      <w:numFmt w:val="decimal"/>
      <w:lvlText w:val="%2)"/>
      <w:lvlJc w:val="left"/>
      <w:pPr>
        <w:ind w:left="1440" w:hanging="360"/>
      </w:pPr>
    </w:lvl>
    <w:lvl w:ilvl="2" w:tentative="0">
      <w:start w:val="13"/>
      <w:numFmt w:val="decimal"/>
      <w:lvlText w:val="%3)"/>
      <w:lvlJc w:val="left"/>
      <w:pPr>
        <w:ind w:left="2160" w:hanging="360"/>
      </w:pPr>
    </w:lvl>
    <w:lvl w:ilvl="3" w:tentative="0">
      <w:start w:val="13"/>
      <w:numFmt w:val="decimal"/>
      <w:lvlText w:val="%4)"/>
      <w:lvlJc w:val="left"/>
      <w:pPr>
        <w:ind w:left="2880" w:hanging="360"/>
      </w:pPr>
    </w:lvl>
    <w:lvl w:ilvl="4" w:tentative="0">
      <w:start w:val="13"/>
      <w:numFmt w:val="decimal"/>
      <w:lvlText w:val="%5)"/>
      <w:lvlJc w:val="left"/>
      <w:pPr>
        <w:ind w:left="3600" w:hanging="360"/>
      </w:pPr>
    </w:lvl>
    <w:lvl w:ilvl="5" w:tentative="0">
      <w:start w:val="13"/>
      <w:numFmt w:val="decimal"/>
      <w:lvlText w:val="%6)"/>
      <w:lvlJc w:val="left"/>
      <w:pPr>
        <w:ind w:left="4320" w:hanging="360"/>
      </w:pPr>
    </w:lvl>
    <w:lvl w:ilvl="6" w:tentative="0">
      <w:start w:val="13"/>
      <w:numFmt w:val="decimal"/>
      <w:lvlText w:val="%7)"/>
      <w:lvlJc w:val="left"/>
      <w:pPr>
        <w:ind w:left="5040" w:hanging="360"/>
      </w:pPr>
    </w:lvl>
    <w:lvl w:ilvl="7" w:tentative="0">
      <w:start w:val="13"/>
      <w:numFmt w:val="decimal"/>
      <w:lvlText w:val="%8)"/>
      <w:lvlJc w:val="left"/>
      <w:pPr>
        <w:ind w:left="5760" w:hanging="360"/>
      </w:pPr>
    </w:lvl>
    <w:lvl w:ilvl="8" w:tentative="0">
      <w:start w:val="13"/>
      <w:numFmt w:val="decimal"/>
      <w:lvlText w:val="%9)"/>
      <w:lvlJc w:val="left"/>
      <w:pPr>
        <w:ind w:left="6480" w:hanging="360"/>
      </w:pPr>
    </w:lvl>
  </w:abstractNum>
  <w:abstractNum w:abstractNumId="13">
    <w:nsid w:val="0A994214"/>
    <w:multiLevelType w:val="multilevel"/>
    <w:tmpl w:val="0A994214"/>
    <w:lvl w:ilvl="0" w:tentative="0">
      <w:start w:val="14"/>
      <w:numFmt w:val="decimal"/>
      <w:lvlText w:val="%1)"/>
      <w:lvlJc w:val="left"/>
      <w:pPr>
        <w:ind w:left="720" w:hanging="360"/>
      </w:pPr>
    </w:lvl>
    <w:lvl w:ilvl="1" w:tentative="0">
      <w:start w:val="14"/>
      <w:numFmt w:val="decimal"/>
      <w:lvlText w:val="%2)"/>
      <w:lvlJc w:val="left"/>
      <w:pPr>
        <w:ind w:left="1440" w:hanging="360"/>
      </w:pPr>
    </w:lvl>
    <w:lvl w:ilvl="2" w:tentative="0">
      <w:start w:val="14"/>
      <w:numFmt w:val="decimal"/>
      <w:lvlText w:val="%3)"/>
      <w:lvlJc w:val="left"/>
      <w:pPr>
        <w:ind w:left="2160" w:hanging="360"/>
      </w:pPr>
    </w:lvl>
    <w:lvl w:ilvl="3" w:tentative="0">
      <w:start w:val="14"/>
      <w:numFmt w:val="decimal"/>
      <w:lvlText w:val="%4)"/>
      <w:lvlJc w:val="left"/>
      <w:pPr>
        <w:ind w:left="2880" w:hanging="360"/>
      </w:pPr>
    </w:lvl>
    <w:lvl w:ilvl="4" w:tentative="0">
      <w:start w:val="14"/>
      <w:numFmt w:val="decimal"/>
      <w:lvlText w:val="%5)"/>
      <w:lvlJc w:val="left"/>
      <w:pPr>
        <w:ind w:left="3600" w:hanging="360"/>
      </w:pPr>
    </w:lvl>
    <w:lvl w:ilvl="5" w:tentative="0">
      <w:start w:val="14"/>
      <w:numFmt w:val="decimal"/>
      <w:lvlText w:val="%6)"/>
      <w:lvlJc w:val="left"/>
      <w:pPr>
        <w:ind w:left="4320" w:hanging="360"/>
      </w:pPr>
    </w:lvl>
    <w:lvl w:ilvl="6" w:tentative="0">
      <w:start w:val="14"/>
      <w:numFmt w:val="decimal"/>
      <w:lvlText w:val="%7)"/>
      <w:lvlJc w:val="left"/>
      <w:pPr>
        <w:ind w:left="5040" w:hanging="360"/>
      </w:pPr>
    </w:lvl>
    <w:lvl w:ilvl="7" w:tentative="0">
      <w:start w:val="14"/>
      <w:numFmt w:val="decimal"/>
      <w:lvlText w:val="%8)"/>
      <w:lvlJc w:val="left"/>
      <w:pPr>
        <w:ind w:left="5760" w:hanging="360"/>
      </w:pPr>
    </w:lvl>
    <w:lvl w:ilvl="8" w:tentative="0">
      <w:start w:val="14"/>
      <w:numFmt w:val="decimal"/>
      <w:lvlText w:val="%9)"/>
      <w:lvlJc w:val="left"/>
      <w:pPr>
        <w:ind w:left="6480" w:hanging="360"/>
      </w:pPr>
    </w:lvl>
  </w:abstractNum>
  <w:abstractNum w:abstractNumId="14">
    <w:nsid w:val="0A994215"/>
    <w:multiLevelType w:val="multilevel"/>
    <w:tmpl w:val="0A994215"/>
    <w:lvl w:ilvl="0" w:tentative="0">
      <w:start w:val="15"/>
      <w:numFmt w:val="decimal"/>
      <w:lvlText w:val="%1)"/>
      <w:lvlJc w:val="left"/>
      <w:pPr>
        <w:ind w:left="720" w:hanging="360"/>
      </w:pPr>
    </w:lvl>
    <w:lvl w:ilvl="1" w:tentative="0">
      <w:start w:val="15"/>
      <w:numFmt w:val="decimal"/>
      <w:lvlText w:val="%2)"/>
      <w:lvlJc w:val="left"/>
      <w:pPr>
        <w:ind w:left="1440" w:hanging="360"/>
      </w:pPr>
    </w:lvl>
    <w:lvl w:ilvl="2" w:tentative="0">
      <w:start w:val="15"/>
      <w:numFmt w:val="decimal"/>
      <w:lvlText w:val="%3)"/>
      <w:lvlJc w:val="left"/>
      <w:pPr>
        <w:ind w:left="2160" w:hanging="360"/>
      </w:pPr>
    </w:lvl>
    <w:lvl w:ilvl="3" w:tentative="0">
      <w:start w:val="15"/>
      <w:numFmt w:val="decimal"/>
      <w:lvlText w:val="%4)"/>
      <w:lvlJc w:val="left"/>
      <w:pPr>
        <w:ind w:left="2880" w:hanging="360"/>
      </w:pPr>
    </w:lvl>
    <w:lvl w:ilvl="4" w:tentative="0">
      <w:start w:val="15"/>
      <w:numFmt w:val="decimal"/>
      <w:lvlText w:val="%5)"/>
      <w:lvlJc w:val="left"/>
      <w:pPr>
        <w:ind w:left="3600" w:hanging="360"/>
      </w:pPr>
    </w:lvl>
    <w:lvl w:ilvl="5" w:tentative="0">
      <w:start w:val="15"/>
      <w:numFmt w:val="decimal"/>
      <w:lvlText w:val="%6)"/>
      <w:lvlJc w:val="left"/>
      <w:pPr>
        <w:ind w:left="4320" w:hanging="360"/>
      </w:pPr>
    </w:lvl>
    <w:lvl w:ilvl="6" w:tentative="0">
      <w:start w:val="15"/>
      <w:numFmt w:val="decimal"/>
      <w:lvlText w:val="%7)"/>
      <w:lvlJc w:val="left"/>
      <w:pPr>
        <w:ind w:left="5040" w:hanging="360"/>
      </w:pPr>
    </w:lvl>
    <w:lvl w:ilvl="7" w:tentative="0">
      <w:start w:val="15"/>
      <w:numFmt w:val="decimal"/>
      <w:lvlText w:val="%8)"/>
      <w:lvlJc w:val="left"/>
      <w:pPr>
        <w:ind w:left="5760" w:hanging="360"/>
      </w:pPr>
    </w:lvl>
    <w:lvl w:ilvl="8" w:tentative="0">
      <w:start w:val="15"/>
      <w:numFmt w:val="decimal"/>
      <w:lvlText w:val="%9)"/>
      <w:lvlJc w:val="left"/>
      <w:pPr>
        <w:ind w:left="6480" w:hanging="360"/>
      </w:pPr>
    </w:lvl>
  </w:abstractNum>
  <w:abstractNum w:abstractNumId="15">
    <w:nsid w:val="0A994216"/>
    <w:multiLevelType w:val="multilevel"/>
    <w:tmpl w:val="0A994216"/>
    <w:lvl w:ilvl="0" w:tentative="0">
      <w:start w:val="16"/>
      <w:numFmt w:val="decimal"/>
      <w:lvlText w:val="%1)"/>
      <w:lvlJc w:val="left"/>
      <w:pPr>
        <w:ind w:left="720" w:hanging="360"/>
      </w:pPr>
    </w:lvl>
    <w:lvl w:ilvl="1" w:tentative="0">
      <w:start w:val="16"/>
      <w:numFmt w:val="decimal"/>
      <w:lvlText w:val="%2)"/>
      <w:lvlJc w:val="left"/>
      <w:pPr>
        <w:ind w:left="1440" w:hanging="360"/>
      </w:pPr>
    </w:lvl>
    <w:lvl w:ilvl="2" w:tentative="0">
      <w:start w:val="16"/>
      <w:numFmt w:val="decimal"/>
      <w:lvlText w:val="%3)"/>
      <w:lvlJc w:val="left"/>
      <w:pPr>
        <w:ind w:left="2160" w:hanging="360"/>
      </w:pPr>
    </w:lvl>
    <w:lvl w:ilvl="3" w:tentative="0">
      <w:start w:val="16"/>
      <w:numFmt w:val="decimal"/>
      <w:lvlText w:val="%4)"/>
      <w:lvlJc w:val="left"/>
      <w:pPr>
        <w:ind w:left="2880" w:hanging="360"/>
      </w:pPr>
    </w:lvl>
    <w:lvl w:ilvl="4" w:tentative="0">
      <w:start w:val="16"/>
      <w:numFmt w:val="decimal"/>
      <w:lvlText w:val="%5)"/>
      <w:lvlJc w:val="left"/>
      <w:pPr>
        <w:ind w:left="3600" w:hanging="360"/>
      </w:pPr>
    </w:lvl>
    <w:lvl w:ilvl="5" w:tentative="0">
      <w:start w:val="16"/>
      <w:numFmt w:val="decimal"/>
      <w:lvlText w:val="%6)"/>
      <w:lvlJc w:val="left"/>
      <w:pPr>
        <w:ind w:left="4320" w:hanging="360"/>
      </w:pPr>
    </w:lvl>
    <w:lvl w:ilvl="6" w:tentative="0">
      <w:start w:val="16"/>
      <w:numFmt w:val="decimal"/>
      <w:lvlText w:val="%7)"/>
      <w:lvlJc w:val="left"/>
      <w:pPr>
        <w:ind w:left="5040" w:hanging="360"/>
      </w:pPr>
    </w:lvl>
    <w:lvl w:ilvl="7" w:tentative="0">
      <w:start w:val="16"/>
      <w:numFmt w:val="decimal"/>
      <w:lvlText w:val="%8)"/>
      <w:lvlJc w:val="left"/>
      <w:pPr>
        <w:ind w:left="5760" w:hanging="360"/>
      </w:pPr>
    </w:lvl>
    <w:lvl w:ilvl="8" w:tentative="0">
      <w:start w:val="16"/>
      <w:numFmt w:val="decimal"/>
      <w:lvlText w:val="%9)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>
    <w:abstractNumId w:val="3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5">
    <w:abstractNumId w:val="4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6">
    <w:abstractNumId w:val="5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7">
    <w:abstractNumId w:val="6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8">
    <w:abstractNumId w:val="7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9">
    <w:abstractNumId w:val="8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">
    <w:abstractNumId w:val="9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1">
    <w:abstractNumId w:val="10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2">
    <w:abstractNumId w:val="11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3">
    <w:abstractNumId w:val="12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4">
    <w:abstractNumId w:val="13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5">
    <w:abstractNumId w:val="14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6">
    <w:abstractNumId w:val="15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1F0651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4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6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40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42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22">
    <w:name w:val="Default Paragraph Font"/>
    <w:semiHidden/>
    <w:unhideWhenUsed/>
    <w:uiPriority w:val="0"/>
  </w:style>
  <w:style w:type="table" w:default="1" w:styleId="21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4"/>
    <w:qFormat/>
    <w:uiPriority w:val="0"/>
    <w:pPr>
      <w:spacing w:before="180" w:after="180"/>
    </w:pPr>
  </w:style>
  <w:style w:type="paragraph" w:styleId="12">
    <w:name w:val="caption"/>
    <w:basedOn w:val="1"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toc 3"/>
    <w:basedOn w:val="1"/>
    <w:next w:val="1"/>
    <w:uiPriority w:val="0"/>
    <w:pPr>
      <w:ind w:left="840" w:leftChars="400"/>
    </w:pPr>
  </w:style>
  <w:style w:type="paragraph" w:styleId="15">
    <w:name w:val="Date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styleId="16">
    <w:name w:val="Title"/>
    <w:basedOn w:val="1"/>
    <w:next w:val="3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7">
    <w:name w:val="toc 1"/>
    <w:basedOn w:val="1"/>
    <w:next w:val="1"/>
    <w:uiPriority w:val="0"/>
  </w:style>
  <w:style w:type="paragraph" w:styleId="18">
    <w:name w:val="Subtitle"/>
    <w:basedOn w:val="16"/>
    <w:next w:val="3"/>
    <w:link w:val="29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9">
    <w:name w:val="footnote text"/>
    <w:basedOn w:val="1"/>
    <w:unhideWhenUsed/>
    <w:qFormat/>
    <w:uiPriority w:val="9"/>
  </w:style>
  <w:style w:type="paragraph" w:styleId="20">
    <w:name w:val="toc 2"/>
    <w:basedOn w:val="1"/>
    <w:next w:val="1"/>
    <w:uiPriority w:val="0"/>
    <w:pPr>
      <w:ind w:left="420" w:leftChars="200"/>
    </w:pPr>
  </w:style>
  <w:style w:type="character" w:styleId="23">
    <w:name w:val="Hyperlink"/>
    <w:basedOn w:val="24"/>
    <w:uiPriority w:val="0"/>
    <w:rPr>
      <w:color w:val="156082" w:themeColor="accent1"/>
    </w:rPr>
  </w:style>
  <w:style w:type="character" w:customStyle="1" w:styleId="24">
    <w:name w:val="Body Text Char"/>
    <w:basedOn w:val="22"/>
    <w:link w:val="3"/>
    <w:uiPriority w:val="0"/>
  </w:style>
  <w:style w:type="character" w:styleId="25">
    <w:name w:val="footnote reference"/>
    <w:basedOn w:val="24"/>
    <w:uiPriority w:val="0"/>
    <w:rPr>
      <w:vertAlign w:val="superscript"/>
    </w:rPr>
  </w:style>
  <w:style w:type="paragraph" w:customStyle="1" w:styleId="26">
    <w:name w:val="First Paragraph"/>
    <w:basedOn w:val="3"/>
    <w:next w:val="3"/>
    <w:qFormat/>
    <w:uiPriority w:val="0"/>
  </w:style>
  <w:style w:type="paragraph" w:customStyle="1" w:styleId="27">
    <w:name w:val="Compact"/>
    <w:basedOn w:val="3"/>
    <w:qFormat/>
    <w:uiPriority w:val="0"/>
    <w:pPr>
      <w:spacing w:before="36" w:after="36"/>
    </w:pPr>
  </w:style>
  <w:style w:type="character" w:customStyle="1" w:styleId="28">
    <w:name w:val="Title Char"/>
    <w:basedOn w:val="22"/>
    <w:link w:val="16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9">
    <w:name w:val="Subtitle Char"/>
    <w:basedOn w:val="22"/>
    <w:link w:val="18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30">
    <w:name w:val="Author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1">
    <w:name w:val="Abstract Title"/>
    <w:basedOn w:val="1"/>
    <w:next w:val="32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2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3">
    <w:name w:val="Bibliography"/>
    <w:basedOn w:val="1"/>
    <w:qFormat/>
    <w:uiPriority w:val="0"/>
  </w:style>
  <w:style w:type="character" w:customStyle="1" w:styleId="34">
    <w:name w:val="Heading 1 Char"/>
    <w:basedOn w:val="22"/>
    <w:link w:val="2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5">
    <w:name w:val="Heading 2 Char"/>
    <w:basedOn w:val="22"/>
    <w:link w:val="4"/>
    <w:semiHidden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6">
    <w:name w:val="Heading 3 Char"/>
    <w:basedOn w:val="22"/>
    <w:link w:val="5"/>
    <w:semiHidden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7">
    <w:name w:val="Heading 4 Char"/>
    <w:basedOn w:val="22"/>
    <w:link w:val="6"/>
    <w:semiHidden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8">
    <w:name w:val="Heading 5 Char"/>
    <w:basedOn w:val="22"/>
    <w:link w:val="7"/>
    <w:semiHidden/>
    <w:uiPriority w:val="9"/>
    <w:rPr>
      <w:rFonts w:eastAsiaTheme="majorEastAsia" w:cstheme="majorBidi"/>
      <w:color w:val="0F4761" w:themeColor="accent1" w:themeShade="BF"/>
    </w:rPr>
  </w:style>
  <w:style w:type="character" w:customStyle="1" w:styleId="39">
    <w:name w:val="Heading 6 Char"/>
    <w:basedOn w:val="22"/>
    <w:link w:val="8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40">
    <w:name w:val="Heading 7 Char"/>
    <w:basedOn w:val="22"/>
    <w:link w:val="9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41">
    <w:name w:val="Heading 8 Char"/>
    <w:basedOn w:val="22"/>
    <w:link w:val="10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42">
    <w:name w:val="Heading 9 Char"/>
    <w:basedOn w:val="22"/>
    <w:link w:val="11"/>
    <w:semiHidden/>
    <w:uiPriority w:val="9"/>
    <w:rPr>
      <w:rFonts w:eastAsiaTheme="majorEastAsia" w:cstheme="majorBidi"/>
      <w:color w:val="262626" w:themeColor="text1" w:themeTint="D8"/>
    </w:rPr>
  </w:style>
  <w:style w:type="paragraph" w:customStyle="1" w:styleId="43">
    <w:name w:val="Footnote Block Text"/>
    <w:basedOn w:val="19"/>
    <w:next w:val="19"/>
    <w:unhideWhenUsed/>
    <w:qFormat/>
    <w:uiPriority w:val="9"/>
    <w:pPr>
      <w:spacing w:before="100" w:after="100"/>
      <w:ind w:left="480" w:right="480" w:firstLine="0"/>
    </w:pPr>
  </w:style>
  <w:style w:type="table" w:customStyle="1" w:styleId="4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45">
    <w:name w:val="Definition Term"/>
    <w:basedOn w:val="1"/>
    <w:next w:val="46"/>
    <w:uiPriority w:val="0"/>
    <w:pPr>
      <w:keepNext/>
      <w:keepLines/>
      <w:spacing w:after="0"/>
    </w:pPr>
    <w:rPr>
      <w:b/>
    </w:rPr>
  </w:style>
  <w:style w:type="paragraph" w:customStyle="1" w:styleId="46">
    <w:name w:val="Definition"/>
    <w:basedOn w:val="1"/>
    <w:uiPriority w:val="0"/>
  </w:style>
  <w:style w:type="paragraph" w:customStyle="1" w:styleId="47">
    <w:name w:val="Table Caption"/>
    <w:basedOn w:val="12"/>
    <w:uiPriority w:val="0"/>
    <w:pPr>
      <w:keepNext/>
    </w:pPr>
  </w:style>
  <w:style w:type="paragraph" w:customStyle="1" w:styleId="48">
    <w:name w:val="Image Caption"/>
    <w:basedOn w:val="12"/>
    <w:uiPriority w:val="0"/>
  </w:style>
  <w:style w:type="paragraph" w:customStyle="1" w:styleId="49">
    <w:name w:val="Figure"/>
    <w:basedOn w:val="1"/>
    <w:qFormat/>
    <w:uiPriority w:val="0"/>
  </w:style>
  <w:style w:type="paragraph" w:customStyle="1" w:styleId="50">
    <w:name w:val="Captioned Figure"/>
    <w:basedOn w:val="49"/>
    <w:uiPriority w:val="0"/>
    <w:pPr>
      <w:keepNext/>
    </w:pPr>
  </w:style>
  <w:style w:type="character" w:customStyle="1" w:styleId="51">
    <w:name w:val="Verbatim Char"/>
    <w:basedOn w:val="24"/>
    <w:link w:val="52"/>
    <w:qFormat/>
    <w:uiPriority w:val="0"/>
    <w:rPr>
      <w:rFonts w:ascii="Consolas" w:hAnsi="Consolas"/>
      <w:sz w:val="22"/>
    </w:rPr>
  </w:style>
  <w:style w:type="paragraph" w:customStyle="1" w:styleId="52">
    <w:name w:val="Source Code"/>
    <w:basedOn w:val="1"/>
    <w:link w:val="51"/>
    <w:uiPriority w:val="0"/>
    <w:pPr>
      <w:wordWrap w:val="0"/>
    </w:pPr>
  </w:style>
  <w:style w:type="character" w:customStyle="1" w:styleId="53">
    <w:name w:val="Section Number"/>
    <w:basedOn w:val="24"/>
    <w:qFormat/>
    <w:uiPriority w:val="0"/>
  </w:style>
  <w:style w:type="paragraph" w:customStyle="1" w:styleId="5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0F4761" w:themeColor="accent1" w:themeShade="BF"/>
    </w:rPr>
  </w:style>
  <w:style w:type="character" w:customStyle="1" w:styleId="55">
    <w:name w:val="KeywordTok"/>
    <w:basedOn w:val="51"/>
    <w:qFormat/>
    <w:uiPriority w:val="0"/>
    <w:rPr>
      <w:b/>
      <w:color w:val="007020"/>
    </w:rPr>
  </w:style>
  <w:style w:type="character" w:customStyle="1" w:styleId="56">
    <w:name w:val="DataTypeTok"/>
    <w:basedOn w:val="51"/>
    <w:uiPriority w:val="0"/>
    <w:rPr>
      <w:color w:val="902000"/>
    </w:rPr>
  </w:style>
  <w:style w:type="character" w:customStyle="1" w:styleId="57">
    <w:name w:val="DecValTok"/>
    <w:basedOn w:val="51"/>
    <w:uiPriority w:val="0"/>
    <w:rPr>
      <w:color w:val="40A070"/>
    </w:rPr>
  </w:style>
  <w:style w:type="character" w:customStyle="1" w:styleId="58">
    <w:name w:val="BaseNTok"/>
    <w:basedOn w:val="51"/>
    <w:uiPriority w:val="0"/>
    <w:rPr>
      <w:color w:val="40A070"/>
    </w:rPr>
  </w:style>
  <w:style w:type="character" w:customStyle="1" w:styleId="59">
    <w:name w:val="FloatTok"/>
    <w:basedOn w:val="51"/>
    <w:uiPriority w:val="0"/>
    <w:rPr>
      <w:color w:val="40A070"/>
    </w:rPr>
  </w:style>
  <w:style w:type="character" w:customStyle="1" w:styleId="60">
    <w:name w:val="ConstantTok"/>
    <w:basedOn w:val="51"/>
    <w:uiPriority w:val="0"/>
    <w:rPr>
      <w:color w:val="880000"/>
    </w:rPr>
  </w:style>
  <w:style w:type="character" w:customStyle="1" w:styleId="61">
    <w:name w:val="CharTok"/>
    <w:basedOn w:val="51"/>
    <w:qFormat/>
    <w:uiPriority w:val="0"/>
    <w:rPr>
      <w:color w:val="4070A0"/>
    </w:rPr>
  </w:style>
  <w:style w:type="character" w:customStyle="1" w:styleId="62">
    <w:name w:val="SpecialCharTok"/>
    <w:basedOn w:val="51"/>
    <w:uiPriority w:val="0"/>
    <w:rPr>
      <w:color w:val="4070A0"/>
    </w:rPr>
  </w:style>
  <w:style w:type="character" w:customStyle="1" w:styleId="63">
    <w:name w:val="StringTok"/>
    <w:basedOn w:val="51"/>
    <w:qFormat/>
    <w:uiPriority w:val="0"/>
    <w:rPr>
      <w:color w:val="4070A0"/>
    </w:rPr>
  </w:style>
  <w:style w:type="character" w:customStyle="1" w:styleId="64">
    <w:name w:val="VerbatimStringTok"/>
    <w:basedOn w:val="51"/>
    <w:uiPriority w:val="0"/>
    <w:rPr>
      <w:color w:val="4070A0"/>
    </w:rPr>
  </w:style>
  <w:style w:type="character" w:customStyle="1" w:styleId="65">
    <w:name w:val="SpecialStringTok"/>
    <w:basedOn w:val="51"/>
    <w:uiPriority w:val="0"/>
    <w:rPr>
      <w:color w:val="BB6688"/>
    </w:rPr>
  </w:style>
  <w:style w:type="character" w:customStyle="1" w:styleId="66">
    <w:name w:val="ImportTok"/>
    <w:basedOn w:val="51"/>
    <w:uiPriority w:val="0"/>
    <w:rPr>
      <w:b/>
      <w:color w:val="008000"/>
    </w:rPr>
  </w:style>
  <w:style w:type="character" w:customStyle="1" w:styleId="67">
    <w:name w:val="CommentTok"/>
    <w:basedOn w:val="51"/>
    <w:qFormat/>
    <w:uiPriority w:val="0"/>
    <w:rPr>
      <w:i/>
      <w:color w:val="60A0B0"/>
    </w:rPr>
  </w:style>
  <w:style w:type="character" w:customStyle="1" w:styleId="68">
    <w:name w:val="DocumentationTok"/>
    <w:basedOn w:val="51"/>
    <w:uiPriority w:val="0"/>
    <w:rPr>
      <w:i/>
      <w:color w:val="BA2121"/>
    </w:rPr>
  </w:style>
  <w:style w:type="character" w:customStyle="1" w:styleId="69">
    <w:name w:val="AnnotationTok"/>
    <w:basedOn w:val="51"/>
    <w:uiPriority w:val="0"/>
    <w:rPr>
      <w:b/>
      <w:i/>
      <w:color w:val="60A0B0"/>
    </w:rPr>
  </w:style>
  <w:style w:type="character" w:customStyle="1" w:styleId="70">
    <w:name w:val="CommentVarTok"/>
    <w:basedOn w:val="51"/>
    <w:uiPriority w:val="0"/>
    <w:rPr>
      <w:b/>
      <w:i/>
      <w:color w:val="60A0B0"/>
    </w:rPr>
  </w:style>
  <w:style w:type="character" w:customStyle="1" w:styleId="71">
    <w:name w:val="OtherTok"/>
    <w:basedOn w:val="51"/>
    <w:uiPriority w:val="0"/>
    <w:rPr>
      <w:color w:val="007020"/>
    </w:rPr>
  </w:style>
  <w:style w:type="character" w:customStyle="1" w:styleId="72">
    <w:name w:val="FunctionTok"/>
    <w:basedOn w:val="51"/>
    <w:uiPriority w:val="0"/>
    <w:rPr>
      <w:color w:val="06287E"/>
    </w:rPr>
  </w:style>
  <w:style w:type="character" w:customStyle="1" w:styleId="73">
    <w:name w:val="VariableTok"/>
    <w:basedOn w:val="51"/>
    <w:qFormat/>
    <w:uiPriority w:val="0"/>
    <w:rPr>
      <w:color w:val="19177C"/>
    </w:rPr>
  </w:style>
  <w:style w:type="character" w:customStyle="1" w:styleId="74">
    <w:name w:val="ControlFlowTok"/>
    <w:basedOn w:val="51"/>
    <w:qFormat/>
    <w:uiPriority w:val="0"/>
    <w:rPr>
      <w:b/>
      <w:color w:val="007020"/>
    </w:rPr>
  </w:style>
  <w:style w:type="character" w:customStyle="1" w:styleId="75">
    <w:name w:val="OperatorTok"/>
    <w:basedOn w:val="51"/>
    <w:qFormat/>
    <w:uiPriority w:val="0"/>
    <w:rPr>
      <w:color w:val="666666"/>
    </w:rPr>
  </w:style>
  <w:style w:type="character" w:customStyle="1" w:styleId="76">
    <w:name w:val="BuiltInTok"/>
    <w:basedOn w:val="51"/>
    <w:uiPriority w:val="0"/>
    <w:rPr>
      <w:color w:val="008000"/>
    </w:rPr>
  </w:style>
  <w:style w:type="character" w:customStyle="1" w:styleId="77">
    <w:name w:val="ExtensionTok"/>
    <w:basedOn w:val="51"/>
    <w:qFormat/>
    <w:uiPriority w:val="0"/>
  </w:style>
  <w:style w:type="character" w:customStyle="1" w:styleId="78">
    <w:name w:val="PreprocessorTok"/>
    <w:basedOn w:val="51"/>
    <w:qFormat/>
    <w:uiPriority w:val="0"/>
    <w:rPr>
      <w:color w:val="BC7A00"/>
    </w:rPr>
  </w:style>
  <w:style w:type="character" w:customStyle="1" w:styleId="79">
    <w:name w:val="AttributeTok"/>
    <w:basedOn w:val="51"/>
    <w:qFormat/>
    <w:uiPriority w:val="0"/>
    <w:rPr>
      <w:color w:val="7D9029"/>
    </w:rPr>
  </w:style>
  <w:style w:type="character" w:customStyle="1" w:styleId="80">
    <w:name w:val="RegionMarkerTok"/>
    <w:basedOn w:val="51"/>
    <w:uiPriority w:val="0"/>
  </w:style>
  <w:style w:type="character" w:customStyle="1" w:styleId="81">
    <w:name w:val="InformationTok"/>
    <w:basedOn w:val="51"/>
    <w:uiPriority w:val="0"/>
    <w:rPr>
      <w:b/>
      <w:i/>
      <w:color w:val="60A0B0"/>
    </w:rPr>
  </w:style>
  <w:style w:type="character" w:customStyle="1" w:styleId="82">
    <w:name w:val="WarningTok"/>
    <w:basedOn w:val="51"/>
    <w:qFormat/>
    <w:uiPriority w:val="0"/>
    <w:rPr>
      <w:b/>
      <w:i/>
      <w:color w:val="60A0B0"/>
    </w:rPr>
  </w:style>
  <w:style w:type="character" w:customStyle="1" w:styleId="83">
    <w:name w:val="AlertTok"/>
    <w:basedOn w:val="51"/>
    <w:qFormat/>
    <w:uiPriority w:val="0"/>
    <w:rPr>
      <w:b/>
      <w:color w:val="FF0000"/>
    </w:rPr>
  </w:style>
  <w:style w:type="character" w:customStyle="1" w:styleId="84">
    <w:name w:val="ErrorTok"/>
    <w:basedOn w:val="51"/>
    <w:uiPriority w:val="0"/>
    <w:rPr>
      <w:b/>
      <w:color w:val="FF0000"/>
    </w:rPr>
  </w:style>
  <w:style w:type="character" w:customStyle="1" w:styleId="85">
    <w:name w:val="NormalTok"/>
    <w:basedOn w:val="51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notes" Target="footnotes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83</Words>
  <Characters>475</Characters>
  <Lines>12</Lines>
  <Paragraphs>8</Paragraphs>
  <TotalTime>0</TotalTime>
  <ScaleCrop>false</ScaleCrop>
  <LinksUpToDate>false</LinksUpToDate>
  <CharactersWithSpaces>583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2026-07-08T05:21:00Z</dcterms:created>
  <dc:creator>AI自强大叔</dc:creator>
  <cp:lastModifiedBy>AI自强大叔</cp:lastModifiedBy>
  <dcterms:modified xsi:type="dcterms:W3CDTF">2026-07-08T05:21:19Z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目录</vt:lpwstr>
  </property>
  <property fmtid="{D5CDD505-2E9C-101B-9397-08002B2CF9AE}" pid="3" name="KSOProductBuildVer">
    <vt:lpwstr>2052-12.1.0.26895</vt:lpwstr>
  </property>
  <property fmtid="{D5CDD505-2E9C-101B-9397-08002B2CF9AE}" pid="4" name="ICV">
    <vt:lpwstr>9F5935516F7143AE8B1E682FA28522E4_12</vt:lpwstr>
  </property>
</Properties>
</file>