
<file path=[Content_Types].xml><?xml version="1.0" encoding="utf-8"?>
<Types xmlns="http://schemas.openxmlformats.org/package/2006/content-types">
  <Default Extension="png" ContentType="image/png"/>
  <Default Extension="gif" ContentType="image/gi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sdt>
      <w:sdtPr>
        <w:id w:val="147480793"/>
        <w:docPartObj>
          <w:docPartGallery w:val="Table of Contents"/>
          <w:docPartUnique/>
        </w:docPartObj>
      </w:sdtPr>
      <w:sdtContent>
        <w:p w14:paraId="57CBFA0D">
          <w:pPr>
            <w:pStyle w:val="54"/>
          </w:pPr>
          <w:bookmarkStart w:id="44" w:name="_GoBack"/>
          <w:bookmarkEnd w:id="44"/>
          <w:r>
            <w:rPr>
              <w:rFonts w:hint="eastAsia"/>
            </w:rPr>
            <w:t>目录</w:t>
          </w:r>
        </w:p>
        <w:p w14:paraId="4B673604">
          <w:pPr>
            <w:pStyle w:val="17"/>
            <w:tabs>
              <w:tab w:val="right" w:leader="dot" w:pos="8640"/>
            </w:tabs>
          </w:pPr>
          <w:r>
            <w:fldChar w:fldCharType="begin"/>
          </w:r>
          <w:r>
            <w:instrText xml:space="preserve">TOC \o "1-3" \h \z \u</w:instrText>
          </w:r>
          <w:r>
            <w:fldChar w:fldCharType="separate"/>
          </w:r>
          <w:r>
            <w:fldChar w:fldCharType="begin"/>
          </w:r>
          <w:r>
            <w:instrText xml:space="preserve"> HYPERLINK \l _Toc5080 </w:instrText>
          </w:r>
          <w:r>
            <w:fldChar w:fldCharType="separate"/>
          </w:r>
          <w:r>
            <w:rPr>
              <w:rFonts w:hint="eastAsia"/>
            </w:rPr>
            <w:t>合同管理</w:t>
          </w:r>
          <w:r>
            <w:tab/>
          </w:r>
          <w:r>
            <w:fldChar w:fldCharType="begin"/>
          </w:r>
          <w:r>
            <w:instrText xml:space="preserve"> PAGEREF _Toc5080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411B6481">
          <w:pPr>
            <w:pStyle w:val="20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_Toc28442 </w:instrText>
          </w:r>
          <w:r>
            <w:fldChar w:fldCharType="separate"/>
          </w:r>
          <w:r>
            <w:rPr>
              <w:rFonts w:hint="eastAsia"/>
            </w:rPr>
            <w:t>0、系统描述</w:t>
          </w:r>
          <w:r>
            <w:tab/>
          </w:r>
          <w:r>
            <w:fldChar w:fldCharType="begin"/>
          </w:r>
          <w:r>
            <w:instrText xml:space="preserve"> PAGEREF _Toc28442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026E51FA">
          <w:pPr>
            <w:pStyle w:val="20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_Toc19581 </w:instrText>
          </w:r>
          <w:r>
            <w:fldChar w:fldCharType="separate"/>
          </w:r>
          <w:r>
            <w:rPr>
              <w:rFonts w:hint="eastAsia"/>
            </w:rPr>
            <w:t>1、空</w:t>
          </w:r>
          <w:r>
            <w:rPr>
              <w:rFonts w:hint="eastAsia"/>
              <w:bCs/>
            </w:rPr>
            <w:t>白合同管理</w:t>
          </w:r>
          <w:r>
            <w:tab/>
          </w:r>
          <w:r>
            <w:fldChar w:fldCharType="begin"/>
          </w:r>
          <w:r>
            <w:instrText xml:space="preserve"> PAGEREF _Toc19581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1E41BD39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_Toc9802 </w:instrText>
          </w:r>
          <w:r>
            <w:fldChar w:fldCharType="separate"/>
          </w:r>
          <w:r>
            <w:rPr>
              <w:rFonts w:hint="eastAsia"/>
            </w:rPr>
            <w:t>1.1、合同模板</w:t>
          </w:r>
          <w:r>
            <w:tab/>
          </w:r>
          <w:r>
            <w:fldChar w:fldCharType="begin"/>
          </w:r>
          <w:r>
            <w:instrText xml:space="preserve"> PAGEREF _Toc9802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37129E0E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_Toc17590 </w:instrText>
          </w:r>
          <w:r>
            <w:fldChar w:fldCharType="separate"/>
          </w:r>
          <w:r>
            <w:rPr>
              <w:rFonts w:hint="eastAsia"/>
              <w:bCs/>
            </w:rPr>
            <w:t>1.2、合同版本</w:t>
          </w:r>
          <w:r>
            <w:tab/>
          </w:r>
          <w:r>
            <w:fldChar w:fldCharType="begin"/>
          </w:r>
          <w:r>
            <w:instrText xml:space="preserve"> PAGEREF _Toc17590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7379317B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_Toc8426 </w:instrText>
          </w:r>
          <w:r>
            <w:fldChar w:fldCharType="separate"/>
          </w:r>
          <w:r>
            <w:rPr>
              <w:rFonts w:hint="eastAsia"/>
              <w:bCs/>
            </w:rPr>
            <w:t>1.3、合同入库</w:t>
          </w:r>
          <w:r>
            <w:tab/>
          </w:r>
          <w:r>
            <w:fldChar w:fldCharType="begin"/>
          </w:r>
          <w:r>
            <w:instrText xml:space="preserve"> PAGEREF _Toc8426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76BF7113">
          <w:pPr>
            <w:pStyle w:val="20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_Toc29968 </w:instrText>
          </w:r>
          <w:r>
            <w:fldChar w:fldCharType="separate"/>
          </w:r>
          <w:r>
            <w:rPr>
              <w:rFonts w:hint="eastAsia"/>
            </w:rPr>
            <w:t>2、合同申领和借调</w:t>
          </w:r>
          <w:r>
            <w:tab/>
          </w:r>
          <w:r>
            <w:fldChar w:fldCharType="begin"/>
          </w:r>
          <w:r>
            <w:instrText xml:space="preserve"> PAGEREF _Toc29968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5A7851DA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_Toc20682 </w:instrText>
          </w:r>
          <w:r>
            <w:fldChar w:fldCharType="separate"/>
          </w:r>
          <w:r>
            <w:t>2.1、</w:t>
          </w:r>
          <w:r>
            <w:rPr>
              <w:rFonts w:hint="eastAsia"/>
              <w:bCs/>
            </w:rPr>
            <w:t>部门申领</w:t>
          </w:r>
          <w:r>
            <w:rPr>
              <w:rFonts w:hint="eastAsia"/>
            </w:rPr>
            <w:t>和</w:t>
          </w:r>
          <w:r>
            <w:rPr>
              <w:rFonts w:hint="eastAsia"/>
              <w:bCs/>
            </w:rPr>
            <w:t>员工申领</w:t>
          </w:r>
          <w:r>
            <w:tab/>
          </w:r>
          <w:r>
            <w:fldChar w:fldCharType="begin"/>
          </w:r>
          <w:r>
            <w:instrText xml:space="preserve"> PAGEREF _Toc20682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0E4B72AD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_Toc15820 </w:instrText>
          </w:r>
          <w:r>
            <w:fldChar w:fldCharType="separate"/>
          </w:r>
          <w:r>
            <w:rPr>
              <w:rFonts w:hint="eastAsia"/>
            </w:rPr>
            <w:t>2.2、合同借调</w:t>
          </w:r>
          <w:r>
            <w:tab/>
          </w:r>
          <w:r>
            <w:fldChar w:fldCharType="begin"/>
          </w:r>
          <w:r>
            <w:instrText xml:space="preserve"> PAGEREF _Toc15820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12856FC3">
          <w:pPr>
            <w:pStyle w:val="20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_Toc7206 </w:instrText>
          </w:r>
          <w:r>
            <w:fldChar w:fldCharType="separate"/>
          </w:r>
          <w:r>
            <w:rPr>
              <w:rFonts w:hint="eastAsia"/>
            </w:rPr>
            <w:t>3、合同归档管理</w:t>
          </w:r>
          <w:r>
            <w:tab/>
          </w:r>
          <w:r>
            <w:fldChar w:fldCharType="begin"/>
          </w:r>
          <w:r>
            <w:instrText xml:space="preserve"> PAGEREF _Toc7206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0433C45B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_Toc24366 </w:instrText>
          </w:r>
          <w:r>
            <w:fldChar w:fldCharType="separate"/>
          </w:r>
          <w:r>
            <w:rPr>
              <w:rFonts w:hint="eastAsia"/>
            </w:rPr>
            <w:t>3.1、档案箱管理</w:t>
          </w:r>
          <w:r>
            <w:tab/>
          </w:r>
          <w:r>
            <w:fldChar w:fldCharType="begin"/>
          </w:r>
          <w:r>
            <w:instrText xml:space="preserve"> PAGEREF _Toc24366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60FF80ED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_Toc20800 </w:instrText>
          </w:r>
          <w:r>
            <w:fldChar w:fldCharType="separate"/>
          </w:r>
          <w:r>
            <w:rPr>
              <w:rFonts w:hint="eastAsia"/>
            </w:rPr>
            <w:t>3.2、已归档合同查询</w:t>
          </w:r>
          <w:r>
            <w:tab/>
          </w:r>
          <w:r>
            <w:fldChar w:fldCharType="begin"/>
          </w:r>
          <w:r>
            <w:instrText xml:space="preserve"> PAGEREF _Toc20800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41865433">
          <w:pPr>
            <w:pStyle w:val="20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_Toc2357 </w:instrText>
          </w:r>
          <w:r>
            <w:fldChar w:fldCharType="separate"/>
          </w:r>
          <w:r>
            <w:rPr>
              <w:rFonts w:hint="eastAsia"/>
            </w:rPr>
            <w:t>4、合同邮寄信息</w:t>
          </w:r>
          <w:r>
            <w:tab/>
          </w:r>
          <w:r>
            <w:fldChar w:fldCharType="begin"/>
          </w:r>
          <w:r>
            <w:instrText xml:space="preserve"> PAGEREF _Toc2357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44FF3F70">
          <w:pPr>
            <w:pStyle w:val="20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_Toc14276 </w:instrText>
          </w:r>
          <w:r>
            <w:fldChar w:fldCharType="separate"/>
          </w:r>
          <w:r>
            <w:rPr>
              <w:rFonts w:hint="eastAsia"/>
            </w:rPr>
            <w:t>5、合同查询</w:t>
          </w:r>
          <w:r>
            <w:tab/>
          </w:r>
          <w:r>
            <w:fldChar w:fldCharType="begin"/>
          </w:r>
          <w:r>
            <w:instrText xml:space="preserve"> PAGEREF _Toc14276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1408AFB0">
          <w:pPr>
            <w:pStyle w:val="20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_Toc26110 </w:instrText>
          </w:r>
          <w:r>
            <w:fldChar w:fldCharType="separate"/>
          </w:r>
          <w:r>
            <w:rPr>
              <w:rFonts w:hint="eastAsia"/>
            </w:rPr>
            <w:t>6、搭配流程使用</w:t>
          </w:r>
          <w:r>
            <w:tab/>
          </w:r>
          <w:r>
            <w:fldChar w:fldCharType="begin"/>
          </w:r>
          <w:r>
            <w:instrText xml:space="preserve"> PAGEREF _Toc26110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1E740432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_Toc13835 </w:instrText>
          </w:r>
          <w:r>
            <w:fldChar w:fldCharType="separate"/>
          </w:r>
          <w:r>
            <w:rPr>
              <w:rFonts w:hint="eastAsia"/>
            </w:rPr>
            <w:t>6.1、部门申领流程</w:t>
          </w:r>
          <w:r>
            <w:tab/>
          </w:r>
          <w:r>
            <w:fldChar w:fldCharType="begin"/>
          </w:r>
          <w:r>
            <w:instrText xml:space="preserve"> PAGEREF _Toc13835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 w14:paraId="12343C05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_Toc23655 </w:instrText>
          </w:r>
          <w:r>
            <w:fldChar w:fldCharType="separate"/>
          </w:r>
          <w:r>
            <w:rPr>
              <w:rFonts w:hint="eastAsia"/>
            </w:rPr>
            <w:t>6.2、合同归档流程</w:t>
          </w:r>
          <w:r>
            <w:tab/>
          </w:r>
          <w:r>
            <w:fldChar w:fldCharType="begin"/>
          </w:r>
          <w:r>
            <w:instrText xml:space="preserve"> PAGEREF _Toc23655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 w14:paraId="1F29CDBB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_Toc29117 </w:instrText>
          </w:r>
          <w:r>
            <w:fldChar w:fldCharType="separate"/>
          </w:r>
          <w:r>
            <w:rPr>
              <w:rFonts w:hint="eastAsia"/>
            </w:rPr>
            <w:t>6.3、合同作废(遗失)流程</w:t>
          </w:r>
          <w:r>
            <w:tab/>
          </w:r>
          <w:r>
            <w:fldChar w:fldCharType="begin"/>
          </w:r>
          <w:r>
            <w:instrText xml:space="preserve"> PAGEREF _Toc29117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 w14:paraId="278E8B5D">
          <w:pPr>
            <w:pStyle w:val="20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_Toc29869 </w:instrText>
          </w:r>
          <w:r>
            <w:fldChar w:fldCharType="separate"/>
          </w:r>
          <w:r>
            <w:rPr>
              <w:rFonts w:hint="eastAsia"/>
            </w:rPr>
            <w:t>7、其他新增功能</w:t>
          </w:r>
          <w:r>
            <w:tab/>
          </w:r>
          <w:r>
            <w:fldChar w:fldCharType="begin"/>
          </w:r>
          <w:r>
            <w:instrText xml:space="preserve"> PAGEREF _Toc29869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 w14:paraId="69BC975E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_Toc20080 </w:instrText>
          </w:r>
          <w:r>
            <w:fldChar w:fldCharType="separate"/>
          </w:r>
          <w:r>
            <w:rPr>
              <w:rFonts w:hint="eastAsia"/>
            </w:rPr>
            <w:t>7.1、增加柜台中资金账号与合同编号的绑定关系(2023.5.10)</w:t>
          </w:r>
          <w:r>
            <w:tab/>
          </w:r>
          <w:r>
            <w:fldChar w:fldCharType="begin"/>
          </w:r>
          <w:r>
            <w:instrText xml:space="preserve"> PAGEREF _Toc20080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 w14:paraId="6E73DB5F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_Toc22301 </w:instrText>
          </w:r>
          <w:r>
            <w:fldChar w:fldCharType="separate"/>
          </w:r>
          <w:r>
            <w:rPr>
              <w:rFonts w:hint="eastAsia"/>
            </w:rPr>
            <w:t>7.2、【邮寄记录】页面增强(2023.5.10)</w:t>
          </w:r>
          <w:r>
            <w:tab/>
          </w:r>
          <w:r>
            <w:fldChar w:fldCharType="begin"/>
          </w:r>
          <w:r>
            <w:instrText xml:space="preserve"> PAGEREF _Toc22301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fldChar w:fldCharType="end"/>
          </w:r>
        </w:p>
        <w:p w14:paraId="7AC3CC94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_Toc551 </w:instrText>
          </w:r>
          <w:r>
            <w:fldChar w:fldCharType="separate"/>
          </w:r>
          <w:r>
            <w:rPr>
              <w:rFonts w:hint="eastAsia"/>
            </w:rPr>
            <w:t>7.3、邮寄信息控件改进(2023.5.10)</w:t>
          </w:r>
          <w:r>
            <w:tab/>
          </w:r>
          <w:r>
            <w:fldChar w:fldCharType="begin"/>
          </w:r>
          <w:r>
            <w:instrText xml:space="preserve"> PAGEREF _Toc551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fldChar w:fldCharType="end"/>
          </w:r>
        </w:p>
        <w:p w14:paraId="1E8592B7">
          <w:r>
            <w:fldChar w:fldCharType="end"/>
          </w:r>
        </w:p>
      </w:sdtContent>
    </w:sdt>
    <w:p w14:paraId="14EF74B4">
      <w:pPr>
        <w:pStyle w:val="2"/>
      </w:pPr>
      <w:bookmarkStart w:id="0" w:name="_Toc5080"/>
      <w:bookmarkStart w:id="1" w:name="合同管理"/>
      <w:r>
        <w:rPr>
          <w:rFonts w:hint="eastAsia"/>
        </w:rPr>
        <w:t>合同管理</w:t>
      </w:r>
      <w:bookmarkEnd w:id="0"/>
    </w:p>
    <w:p w14:paraId="259D4AE8">
      <w:pPr>
        <w:pStyle w:val="4"/>
      </w:pPr>
      <w:bookmarkStart w:id="2" w:name="_Toc28442"/>
      <w:bookmarkStart w:id="3" w:name="系统描述"/>
      <w:r>
        <w:rPr>
          <w:rFonts w:hint="eastAsia"/>
        </w:rPr>
        <w:t>0、系统描述</w:t>
      </w:r>
      <w:bookmarkEnd w:id="2"/>
    </w:p>
    <w:p w14:paraId="155EFFA8">
      <w:pPr>
        <w:pStyle w:val="26"/>
      </w:pPr>
      <w:r>
        <w:rPr>
          <w:rFonts w:hint="eastAsia"/>
        </w:rPr>
        <w:t>本模块是德索CRM的一个子模块，功能主要是围绕合同的管理来展开。</w:t>
      </w:r>
    </w:p>
    <w:p w14:paraId="6B6062C3">
      <w:pPr>
        <w:pStyle w:val="3"/>
      </w:pPr>
      <w:r>
        <w:fldChar w:fldCharType="begin"/>
      </w:r>
      <w:r>
        <w:instrText xml:space="preserve"> HYPERLINK "/pdf/【手册】德索合同管理模块v1.0版本使用说明.pdf" \h </w:instrText>
      </w:r>
      <w:r>
        <w:fldChar w:fldCharType="separate"/>
      </w:r>
      <w:r>
        <w:rPr>
          <w:rStyle w:val="23"/>
          <w:rFonts w:hint="eastAsia"/>
        </w:rPr>
        <w:t>下载:【手册】德索合同管理模块v1.0版本使用说明.pdf</w:t>
      </w:r>
      <w:r>
        <w:rPr>
          <w:rStyle w:val="23"/>
          <w:rFonts w:hint="eastAsia"/>
        </w:rPr>
        <w:fldChar w:fldCharType="end"/>
      </w:r>
    </w:p>
    <w:p w14:paraId="628B9203">
      <w:pPr>
        <w:pStyle w:val="3"/>
      </w:pPr>
      <w:r>
        <w:rPr>
          <w:rFonts w:hint="eastAsia"/>
        </w:rPr>
        <w:t>模块建设目标是：管理（期货公司）客户的所有合同，包含电子合同、纸质合同及其影像。</w:t>
      </w:r>
    </w:p>
    <w:p w14:paraId="573BDDE4">
      <w:pPr>
        <w:pStyle w:val="3"/>
      </w:pPr>
      <w:r>
        <w:rPr>
          <w:rFonts w:hint="eastAsia"/>
        </w:rPr>
        <w:t>模块功能示意图：</w:t>
      </w:r>
    </w:p>
    <w:p w14:paraId="3E1C7A0A">
      <w:pPr>
        <w:pStyle w:val="3"/>
      </w:pPr>
      <w:r>
        <w:drawing>
          <wp:inline distT="0" distB="0" distL="114300" distR="114300">
            <wp:extent cx="5334000" cy="2788920"/>
            <wp:effectExtent l="0" t="0" r="0" b="0"/>
            <wp:docPr id="22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7889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ECE3D9C">
      <w:pPr>
        <w:pStyle w:val="3"/>
      </w:pPr>
      <w:r>
        <w:rPr>
          <w:rFonts w:hint="eastAsia"/>
        </w:rPr>
        <w:t>菜单数据权限控制情况：</w:t>
      </w:r>
    </w:p>
    <w:p w14:paraId="3A51FDEA">
      <w:pPr>
        <w:pStyle w:val="3"/>
      </w:pPr>
      <w:r>
        <w:drawing>
          <wp:inline distT="0" distB="0" distL="114300" distR="114300">
            <wp:extent cx="5334000" cy="9814560"/>
            <wp:effectExtent l="0" t="0" r="0" b="0"/>
            <wp:docPr id="25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9814867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20A5274">
      <w:pPr>
        <w:pStyle w:val="3"/>
      </w:pPr>
      <w:r>
        <w:drawing>
          <wp:inline distT="0" distB="0" distL="114300" distR="114300">
            <wp:extent cx="5334000" cy="4931410"/>
            <wp:effectExtent l="0" t="0" r="0" b="0"/>
            <wp:docPr id="28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49316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8BC08FF">
      <w:pPr>
        <w:pStyle w:val="3"/>
      </w:pPr>
      <w:r>
        <w:rPr>
          <w:rFonts w:hint="eastAsia"/>
        </w:rPr>
        <w:t>手册将分俩部分来介绍：1、合同模块的基本介绍与使用；2、搭配流程来使用。</w:t>
      </w:r>
    </w:p>
    <w:bookmarkEnd w:id="3"/>
    <w:p w14:paraId="2AA8D02E">
      <w:pPr>
        <w:pStyle w:val="4"/>
      </w:pPr>
      <w:bookmarkStart w:id="4" w:name="_Toc19581"/>
      <w:bookmarkStart w:id="5" w:name="空白合同管理"/>
      <w:r>
        <w:rPr>
          <w:rFonts w:hint="eastAsia"/>
        </w:rPr>
        <w:t>1、空</w:t>
      </w:r>
      <w:r>
        <w:rPr>
          <w:rFonts w:hint="eastAsia"/>
          <w:b/>
          <w:bCs/>
        </w:rPr>
        <w:t>白合同管理</w:t>
      </w:r>
      <w:bookmarkEnd w:id="4"/>
    </w:p>
    <w:p w14:paraId="5698F432">
      <w:pPr>
        <w:pStyle w:val="26"/>
      </w:pPr>
      <w:r>
        <w:rPr>
          <w:rFonts w:hint="eastAsia"/>
          <w:b/>
          <w:bCs/>
        </w:rPr>
        <w:t>合同模板</w:t>
      </w:r>
      <w:r>
        <w:rPr>
          <w:rFonts w:hint="eastAsia"/>
        </w:rPr>
        <w:t>也可以称作</w:t>
      </w:r>
      <w:r>
        <w:rPr>
          <w:rFonts w:hint="eastAsia"/>
          <w:b/>
          <w:bCs/>
        </w:rPr>
        <w:t>合同类别</w:t>
      </w:r>
      <w:r>
        <w:rPr>
          <w:rFonts w:hint="eastAsia"/>
        </w:rPr>
        <w:t>（如期货开户合同），一个</w:t>
      </w:r>
      <w:r>
        <w:rPr>
          <w:rFonts w:hint="eastAsia"/>
          <w:b/>
          <w:bCs/>
        </w:rPr>
        <w:t>合同模板</w:t>
      </w:r>
      <w:r>
        <w:rPr>
          <w:rFonts w:hint="eastAsia"/>
        </w:rPr>
        <w:t>下可以有很多个版本（如2022年期货开户合同），然后针对合同版本可以进行入库（即将印刷好的纸质合同记录到系统）。</w:t>
      </w:r>
    </w:p>
    <w:p w14:paraId="42854FBC">
      <w:pPr>
        <w:pStyle w:val="5"/>
      </w:pPr>
      <w:bookmarkStart w:id="6" w:name="_Toc9802"/>
      <w:bookmarkStart w:id="7" w:name="合同模板"/>
      <w:r>
        <w:rPr>
          <w:rFonts w:hint="eastAsia"/>
        </w:rPr>
        <w:t>1.1、合同模板</w:t>
      </w:r>
      <w:bookmarkEnd w:id="6"/>
    </w:p>
    <w:p w14:paraId="56F50B67">
      <w:pPr>
        <w:pStyle w:val="26"/>
      </w:pPr>
      <w:r>
        <w:rPr>
          <w:rFonts w:hint="eastAsia"/>
        </w:rPr>
        <w:t>新增合同模板</w:t>
      </w:r>
    </w:p>
    <w:p w14:paraId="370506C9">
      <w:pPr>
        <w:pStyle w:val="3"/>
      </w:pPr>
      <w:r>
        <w:drawing>
          <wp:inline distT="0" distB="0" distL="114300" distR="114300">
            <wp:extent cx="5334000" cy="1106170"/>
            <wp:effectExtent l="0" t="0" r="0" b="0"/>
            <wp:docPr id="32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106521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7"/>
    <w:p w14:paraId="66A9E801">
      <w:pPr>
        <w:pStyle w:val="5"/>
      </w:pPr>
      <w:bookmarkStart w:id="8" w:name="_Toc17590"/>
      <w:bookmarkStart w:id="9" w:name="合同版本"/>
      <w:r>
        <w:rPr>
          <w:rFonts w:hint="eastAsia"/>
          <w:b/>
          <w:bCs/>
        </w:rPr>
        <w:t>1.2、合同版本</w:t>
      </w:r>
      <w:bookmarkEnd w:id="8"/>
    </w:p>
    <w:p w14:paraId="5D194F70">
      <w:pPr>
        <w:pStyle w:val="26"/>
      </w:pPr>
      <w:r>
        <w:rPr>
          <w:rFonts w:hint="eastAsia"/>
        </w:rPr>
        <w:t>新增合同版本</w:t>
      </w:r>
    </w:p>
    <w:p w14:paraId="55ED29F8">
      <w:pPr>
        <w:pStyle w:val="3"/>
      </w:pPr>
      <w:r>
        <w:drawing>
          <wp:inline distT="0" distB="0" distL="114300" distR="114300">
            <wp:extent cx="5334000" cy="1249045"/>
            <wp:effectExtent l="0" t="0" r="0" b="0"/>
            <wp:docPr id="36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249082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9"/>
    <w:p w14:paraId="5BB9B647">
      <w:pPr>
        <w:pStyle w:val="5"/>
      </w:pPr>
      <w:bookmarkStart w:id="10" w:name="_Toc8426"/>
      <w:bookmarkStart w:id="11" w:name="合同入库"/>
      <w:r>
        <w:rPr>
          <w:rFonts w:hint="eastAsia"/>
          <w:b/>
          <w:bCs/>
        </w:rPr>
        <w:t>1.3、合同入库</w:t>
      </w:r>
      <w:bookmarkEnd w:id="10"/>
    </w:p>
    <w:p w14:paraId="4D60F142">
      <w:pPr>
        <w:pStyle w:val="26"/>
      </w:pPr>
      <w:r>
        <w:rPr>
          <w:rFonts w:hint="eastAsia"/>
        </w:rPr>
        <w:t>系统中我们通常把需要严格</w:t>
      </w:r>
      <w:r>
        <w:rPr>
          <w:rFonts w:hint="eastAsia"/>
          <w:b/>
          <w:bCs/>
        </w:rPr>
        <w:t>有合同编号</w:t>
      </w:r>
      <w:r>
        <w:rPr>
          <w:rFonts w:hint="eastAsia"/>
        </w:rPr>
        <w:t>的称作</w:t>
      </w:r>
      <w:r>
        <w:rPr>
          <w:rFonts w:hint="eastAsia"/>
          <w:b/>
          <w:bCs/>
        </w:rPr>
        <w:t>正式合同；没有合同编号</w:t>
      </w:r>
      <w:r>
        <w:rPr>
          <w:rFonts w:hint="eastAsia"/>
        </w:rPr>
        <w:t>的称作</w:t>
      </w:r>
      <w:r>
        <w:rPr>
          <w:rFonts w:hint="eastAsia"/>
          <w:b/>
          <w:bCs/>
        </w:rPr>
        <w:t>协议合同</w:t>
      </w:r>
      <w:r>
        <w:rPr>
          <w:rFonts w:hint="eastAsia"/>
        </w:rPr>
        <w:t>。他们通过【合同模块】中的</w:t>
      </w:r>
      <w:r>
        <w:rPr>
          <w:rFonts w:hint="eastAsia"/>
          <w:b/>
          <w:bCs/>
        </w:rPr>
        <w:t>“是否库存管理”</w:t>
      </w:r>
      <w:r>
        <w:rPr>
          <w:rFonts w:hint="eastAsia"/>
        </w:rPr>
        <w:t>来区分。</w:t>
      </w:r>
    </w:p>
    <w:p w14:paraId="45FB6B39">
      <w:pPr>
        <w:pStyle w:val="3"/>
      </w:pPr>
      <w:r>
        <w:rPr>
          <w:rFonts w:hint="eastAsia"/>
        </w:rPr>
        <w:t>正式合同类可以登记库存（批量登记合同编号），之后每个合同编号都可以在系统中查询到。而对于协议类合同，系统只管理其电子档案，+至于是否需要印刷（打印）成字纸文件，印刷多少份，系统不做管理和登记。</w:t>
      </w:r>
    </w:p>
    <w:p w14:paraId="6B064AF6">
      <w:pPr>
        <w:pStyle w:val="3"/>
      </w:pPr>
      <w:r>
        <w:rPr>
          <w:rFonts w:hint="eastAsia"/>
        </w:rPr>
        <w:t>所以合同的入库分为</w:t>
      </w:r>
      <w:r>
        <w:rPr>
          <w:rFonts w:hint="eastAsia"/>
          <w:b/>
          <w:bCs/>
        </w:rPr>
        <w:t>正式合同</w:t>
      </w:r>
      <w:r>
        <w:rPr>
          <w:rFonts w:hint="eastAsia"/>
        </w:rPr>
        <w:t>的入库和</w:t>
      </w:r>
      <w:r>
        <w:rPr>
          <w:rFonts w:hint="eastAsia"/>
          <w:b/>
          <w:bCs/>
        </w:rPr>
        <w:t>协议合同</w:t>
      </w:r>
      <w:r>
        <w:rPr>
          <w:rFonts w:hint="eastAsia"/>
        </w:rPr>
        <w:t>的上传电子档</w:t>
      </w:r>
    </w:p>
    <w:p w14:paraId="74E6DA59">
      <w:pPr>
        <w:pStyle w:val="3"/>
      </w:pPr>
      <w:r>
        <w:drawing>
          <wp:inline distT="0" distB="0" distL="114300" distR="114300">
            <wp:extent cx="5334000" cy="3803015"/>
            <wp:effectExtent l="0" t="0" r="0" b="0"/>
            <wp:docPr id="40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803129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CC5AE8F">
      <w:pPr>
        <w:pStyle w:val="3"/>
      </w:pPr>
      <w:r>
        <w:drawing>
          <wp:inline distT="0" distB="0" distL="114300" distR="114300">
            <wp:extent cx="5334000" cy="3153410"/>
            <wp:effectExtent l="0" t="0" r="0" b="0"/>
            <wp:docPr id="43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1534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6773B6B">
      <w:pPr>
        <w:pStyle w:val="3"/>
      </w:pPr>
      <w:r>
        <w:rPr>
          <w:rFonts w:hint="eastAsia"/>
        </w:rPr>
        <w:t>合同版本也能维护电子母版。</w:t>
      </w:r>
    </w:p>
    <w:p w14:paraId="62DC3B20">
      <w:pPr>
        <w:pStyle w:val="3"/>
      </w:pPr>
      <w:r>
        <w:drawing>
          <wp:inline distT="0" distB="0" distL="114300" distR="114300">
            <wp:extent cx="5334000" cy="1871980"/>
            <wp:effectExtent l="0" t="0" r="0" b="0"/>
            <wp:docPr id="46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872078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5"/>
    <w:bookmarkEnd w:id="11"/>
    <w:p w14:paraId="392C0B39">
      <w:pPr>
        <w:pStyle w:val="4"/>
      </w:pPr>
      <w:bookmarkStart w:id="12" w:name="_Toc29968"/>
      <w:bookmarkStart w:id="13" w:name="合同申领和借调"/>
      <w:r>
        <w:rPr>
          <w:rFonts w:hint="eastAsia"/>
        </w:rPr>
        <w:t>2、合同申领和借调</w:t>
      </w:r>
      <w:bookmarkEnd w:id="12"/>
    </w:p>
    <w:p w14:paraId="2DB77227">
      <w:pPr>
        <w:pStyle w:val="5"/>
      </w:pPr>
      <w:bookmarkStart w:id="14" w:name="_Toc20682"/>
      <w:bookmarkStart w:id="15" w:name="部门申领和员工申领"/>
      <w:r>
        <w:t>2.1、</w:t>
      </w:r>
      <w:r>
        <w:rPr>
          <w:rFonts w:hint="eastAsia"/>
          <w:b/>
          <w:bCs/>
        </w:rPr>
        <w:t>部门申领</w:t>
      </w:r>
      <w:r>
        <w:rPr>
          <w:rFonts w:hint="eastAsia"/>
        </w:rPr>
        <w:t>和</w:t>
      </w:r>
      <w:r>
        <w:rPr>
          <w:rFonts w:hint="eastAsia"/>
          <w:b/>
          <w:bCs/>
        </w:rPr>
        <w:t>员工申领</w:t>
      </w:r>
      <w:bookmarkEnd w:id="14"/>
    </w:p>
    <w:p w14:paraId="06B45164">
      <w:pPr>
        <w:pStyle w:val="26"/>
      </w:pPr>
      <w:r>
        <w:rPr>
          <w:rFonts w:hint="eastAsia"/>
        </w:rPr>
        <w:t>合同申领分为</w:t>
      </w:r>
      <w:r>
        <w:rPr>
          <w:rFonts w:hint="eastAsia"/>
          <w:b/>
          <w:bCs/>
        </w:rPr>
        <w:t>部门申领</w:t>
      </w:r>
      <w:r>
        <w:rPr>
          <w:rFonts w:hint="eastAsia"/>
        </w:rPr>
        <w:t>和</w:t>
      </w:r>
      <w:r>
        <w:rPr>
          <w:rFonts w:hint="eastAsia"/>
          <w:b/>
          <w:bCs/>
        </w:rPr>
        <w:t>员工申领。部门申领页面</w:t>
      </w:r>
      <w:r>
        <w:rPr>
          <w:rFonts w:hint="eastAsia"/>
        </w:rPr>
        <w:t>实现了</w:t>
      </w:r>
      <w:r>
        <w:rPr>
          <w:rFonts w:hint="eastAsia"/>
          <w:b/>
          <w:bCs/>
        </w:rPr>
        <w:t>部门数据权限</w:t>
      </w:r>
      <w:r>
        <w:rPr>
          <w:rFonts w:hint="eastAsia"/>
        </w:rPr>
        <w:t>（操作员只能看到自己部门内的申领）。</w:t>
      </w:r>
      <w:r>
        <w:rPr>
          <w:rFonts w:hint="eastAsia"/>
          <w:b/>
          <w:bCs/>
        </w:rPr>
        <w:t>员工申领页面</w:t>
      </w:r>
      <w:r>
        <w:rPr>
          <w:rFonts w:hint="eastAsia"/>
        </w:rPr>
        <w:t>实现了</w:t>
      </w:r>
      <w:r>
        <w:rPr>
          <w:rFonts w:hint="eastAsia"/>
          <w:b/>
          <w:bCs/>
        </w:rPr>
        <w:t>员工数据权限</w:t>
      </w:r>
      <w:r>
        <w:rPr>
          <w:rFonts w:hint="eastAsia"/>
        </w:rPr>
        <w:t>（操作员只能看到自己的申领）</w:t>
      </w:r>
    </w:p>
    <w:p w14:paraId="77BD54EF">
      <w:pPr>
        <w:pStyle w:val="3"/>
      </w:pPr>
      <w:r>
        <w:rPr>
          <w:rFonts w:hint="eastAsia"/>
          <w:b/>
          <w:bCs/>
        </w:rPr>
        <w:t>部门申领</w:t>
      </w:r>
      <w:r>
        <w:rPr>
          <w:rFonts w:hint="eastAsia"/>
        </w:rPr>
        <w:t>是指部门向总部发起申领空白合同（或协议）的流程。申领流程是在业务管理平台的【业务审批】中体现。</w:t>
      </w:r>
    </w:p>
    <w:p w14:paraId="737D729C">
      <w:pPr>
        <w:pStyle w:val="3"/>
      </w:pPr>
      <w:r>
        <w:rPr>
          <w:rFonts w:hint="eastAsia"/>
          <w:b/>
          <w:bCs/>
        </w:rPr>
        <w:t>个人申领</w:t>
      </w:r>
      <w:r>
        <w:rPr>
          <w:rFonts w:hint="eastAsia"/>
        </w:rPr>
        <w:t>是指业务人员向所在部门进行申领，可直接登记来申领。</w:t>
      </w:r>
    </w:p>
    <w:p w14:paraId="54D5C9B2">
      <w:pPr>
        <w:pStyle w:val="3"/>
      </w:pPr>
      <w:r>
        <w:rPr>
          <w:rFonts w:hint="eastAsia"/>
          <w:b/>
          <w:bCs/>
        </w:rPr>
        <w:t>注：</w:t>
      </w:r>
    </w:p>
    <w:p w14:paraId="6554F2F7">
      <w:pPr>
        <w:pStyle w:val="3"/>
      </w:pPr>
      <w:r>
        <w:rPr>
          <w:rFonts w:hint="eastAsia"/>
        </w:rPr>
        <w:t>部门的</w:t>
      </w:r>
      <w:r>
        <w:t xml:space="preserve"> </w:t>
      </w:r>
      <w:r>
        <w:rPr>
          <w:rFonts w:hint="eastAsia"/>
          <w:b/>
          <w:bCs/>
        </w:rPr>
        <w:t>“分配合同”</w:t>
      </w:r>
      <w:r>
        <w:t xml:space="preserve"> </w:t>
      </w:r>
      <w:r>
        <w:rPr>
          <w:rFonts w:hint="eastAsia"/>
        </w:rPr>
        <w:t>和员工的</w:t>
      </w:r>
      <w:r>
        <w:t xml:space="preserve"> </w:t>
      </w:r>
      <w:r>
        <w:rPr>
          <w:rFonts w:hint="eastAsia"/>
          <w:b/>
          <w:bCs/>
        </w:rPr>
        <w:t>“个人申领”</w:t>
      </w:r>
      <w:r>
        <w:t xml:space="preserve"> </w:t>
      </w:r>
      <w:r>
        <w:rPr>
          <w:rFonts w:hint="eastAsia"/>
        </w:rPr>
        <w:t>这俩个功能，其实是针对不同场景的同一个功能。</w:t>
      </w:r>
      <w:r>
        <w:rPr>
          <w:rFonts w:hint="eastAsia"/>
          <w:b/>
          <w:bCs/>
        </w:rPr>
        <w:t>“分配合同”</w:t>
      </w:r>
      <w:r>
        <w:t xml:space="preserve"> </w:t>
      </w:r>
      <w:r>
        <w:rPr>
          <w:rFonts w:hint="eastAsia"/>
        </w:rPr>
        <w:t>是给部门中合同专员用的；</w:t>
      </w:r>
      <w:r>
        <w:rPr>
          <w:rFonts w:hint="eastAsia"/>
          <w:b/>
          <w:bCs/>
        </w:rPr>
        <w:t>“个人申领”</w:t>
      </w:r>
      <w:r>
        <w:t xml:space="preserve"> </w:t>
      </w:r>
      <w:r>
        <w:rPr>
          <w:rFonts w:hint="eastAsia"/>
        </w:rPr>
        <w:t>是给员工自己用的；目的都是把合同挂到员工名下。</w:t>
      </w:r>
    </w:p>
    <w:p w14:paraId="586DB697">
      <w:pPr>
        <w:pStyle w:val="3"/>
      </w:pPr>
      <w:r>
        <w:rPr>
          <w:rFonts w:hint="eastAsia"/>
        </w:rPr>
        <w:t>同理，部门的</w:t>
      </w:r>
      <w:r>
        <w:t xml:space="preserve"> </w:t>
      </w:r>
      <w:r>
        <w:rPr>
          <w:rFonts w:hint="eastAsia"/>
          <w:b/>
          <w:bCs/>
        </w:rPr>
        <w:t>“收回合同”</w:t>
      </w:r>
      <w:r>
        <w:t xml:space="preserve"> </w:t>
      </w:r>
      <w:r>
        <w:rPr>
          <w:rFonts w:hint="eastAsia"/>
        </w:rPr>
        <w:t>和员工的</w:t>
      </w:r>
      <w:r>
        <w:t xml:space="preserve"> </w:t>
      </w:r>
      <w:r>
        <w:rPr>
          <w:rFonts w:hint="eastAsia"/>
          <w:b/>
          <w:bCs/>
        </w:rPr>
        <w:t>“返还合同”</w:t>
      </w:r>
      <w:r>
        <w:t xml:space="preserve"> </w:t>
      </w:r>
      <w:r>
        <w:rPr>
          <w:rFonts w:hint="eastAsia"/>
        </w:rPr>
        <w:t>这俩个功能也是一样。都是把合同从员工名下转移到部门中来。</w:t>
      </w:r>
    </w:p>
    <w:p w14:paraId="29510F2A">
      <w:pPr>
        <w:pStyle w:val="3"/>
      </w:pPr>
      <w:r>
        <w:drawing>
          <wp:inline distT="0" distB="0" distL="114300" distR="114300">
            <wp:extent cx="5334000" cy="2081530"/>
            <wp:effectExtent l="0" t="0" r="0" b="0"/>
            <wp:docPr id="51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081986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3553E51">
      <w:pPr>
        <w:pStyle w:val="3"/>
      </w:pPr>
      <w:r>
        <w:drawing>
          <wp:inline distT="0" distB="0" distL="114300" distR="114300">
            <wp:extent cx="5334000" cy="2411095"/>
            <wp:effectExtent l="0" t="0" r="0" b="0"/>
            <wp:docPr id="54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411287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15"/>
    <w:p w14:paraId="6701714E">
      <w:pPr>
        <w:pStyle w:val="5"/>
      </w:pPr>
      <w:bookmarkStart w:id="16" w:name="_Toc15820"/>
      <w:bookmarkStart w:id="17" w:name="合同借调"/>
      <w:r>
        <w:rPr>
          <w:rFonts w:hint="eastAsia"/>
        </w:rPr>
        <w:t>2.2、合同借调</w:t>
      </w:r>
      <w:bookmarkEnd w:id="16"/>
    </w:p>
    <w:p w14:paraId="153F0E50">
      <w:pPr>
        <w:pStyle w:val="26"/>
      </w:pPr>
      <w:r>
        <w:rPr>
          <w:rFonts w:hint="eastAsia"/>
        </w:rPr>
        <w:t>可以进行部门间的合同借调。要借调出去的合同时需要在部门名下的，如果合同已经被部门内的员工申领了，则需要员工将合同先【返还】给部门再可以借调出去。</w:t>
      </w:r>
    </w:p>
    <w:p w14:paraId="181D36AE">
      <w:pPr>
        <w:pStyle w:val="3"/>
      </w:pPr>
      <w:r>
        <w:rPr>
          <w:rFonts w:hint="eastAsia"/>
        </w:rPr>
        <w:t>注：【部门借调】权限是需要总部员工</w:t>
      </w:r>
    </w:p>
    <w:p w14:paraId="6FF8C0AA">
      <w:pPr>
        <w:pStyle w:val="3"/>
      </w:pPr>
      <w:r>
        <w:drawing>
          <wp:inline distT="0" distB="0" distL="114300" distR="114300">
            <wp:extent cx="5334000" cy="1915795"/>
            <wp:effectExtent l="0" t="0" r="0" b="0"/>
            <wp:docPr id="58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916407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13"/>
    <w:bookmarkEnd w:id="17"/>
    <w:p w14:paraId="3C46983D">
      <w:pPr>
        <w:pStyle w:val="4"/>
      </w:pPr>
      <w:bookmarkStart w:id="18" w:name="_Toc7206"/>
      <w:bookmarkStart w:id="19" w:name="合同归档管理"/>
      <w:r>
        <w:rPr>
          <w:rFonts w:hint="eastAsia"/>
        </w:rPr>
        <w:t>3、合同归档管理</w:t>
      </w:r>
      <w:bookmarkEnd w:id="18"/>
    </w:p>
    <w:p w14:paraId="24F3349F">
      <w:pPr>
        <w:pStyle w:val="26"/>
      </w:pPr>
      <w:r>
        <w:rPr>
          <w:rFonts w:hint="eastAsia"/>
        </w:rPr>
        <w:t>可查询</w:t>
      </w:r>
      <w:r>
        <w:rPr>
          <w:rFonts w:hint="eastAsia"/>
          <w:b/>
          <w:bCs/>
        </w:rPr>
        <w:t>已归档的合同</w:t>
      </w:r>
      <w:r>
        <w:rPr>
          <w:rFonts w:hint="eastAsia"/>
        </w:rPr>
        <w:t>，可以记录</w:t>
      </w:r>
      <w:r>
        <w:rPr>
          <w:rFonts w:hint="eastAsia"/>
          <w:b/>
          <w:bCs/>
        </w:rPr>
        <w:t>档案箱</w:t>
      </w:r>
      <w:r>
        <w:t>。</w:t>
      </w:r>
    </w:p>
    <w:p w14:paraId="4307B047">
      <w:pPr>
        <w:pStyle w:val="3"/>
      </w:pPr>
      <w:r>
        <w:rPr>
          <w:rFonts w:hint="eastAsia"/>
          <w:b/>
          <w:bCs/>
        </w:rPr>
        <w:t>档案箱</w:t>
      </w:r>
      <w:r>
        <w:rPr>
          <w:rFonts w:hint="eastAsia"/>
        </w:rPr>
        <w:t>的作用主要是用来代表实物合同的存放地。有的期货公司托管于文件存管机构，有的期货公司有自己档案室，都可以通过档案箱来标识出来。</w:t>
      </w:r>
    </w:p>
    <w:p w14:paraId="34F7D272">
      <w:pPr>
        <w:pStyle w:val="5"/>
      </w:pPr>
      <w:bookmarkStart w:id="20" w:name="_Toc24366"/>
      <w:bookmarkStart w:id="21" w:name="档案箱管理"/>
      <w:r>
        <w:rPr>
          <w:rFonts w:hint="eastAsia"/>
        </w:rPr>
        <w:t>3.1、档案箱管理</w:t>
      </w:r>
      <w:bookmarkEnd w:id="20"/>
    </w:p>
    <w:p w14:paraId="4811EAC6">
      <w:pPr>
        <w:pStyle w:val="26"/>
      </w:pPr>
      <w:r>
        <w:drawing>
          <wp:inline distT="0" distB="0" distL="114300" distR="114300">
            <wp:extent cx="5334000" cy="1078865"/>
            <wp:effectExtent l="0" t="0" r="0" b="0"/>
            <wp:docPr id="63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079204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21"/>
    <w:p w14:paraId="75D9F5E6">
      <w:pPr>
        <w:pStyle w:val="5"/>
      </w:pPr>
      <w:bookmarkStart w:id="22" w:name="_Toc20800"/>
      <w:bookmarkStart w:id="23" w:name="已归档合同查询"/>
      <w:r>
        <w:rPr>
          <w:rFonts w:hint="eastAsia"/>
        </w:rPr>
        <w:t>3.2、已归档合同查询</w:t>
      </w:r>
      <w:bookmarkEnd w:id="22"/>
    </w:p>
    <w:p w14:paraId="1AFE8F15">
      <w:pPr>
        <w:pStyle w:val="26"/>
      </w:pPr>
      <w:r>
        <w:rPr>
          <w:rFonts w:hint="eastAsia"/>
        </w:rPr>
        <w:t>该页面实现了数据权限（操作员只能看到自己部门内的合同）</w:t>
      </w:r>
    </w:p>
    <w:p w14:paraId="332B2830">
      <w:pPr>
        <w:pStyle w:val="3"/>
      </w:pPr>
      <w:r>
        <w:drawing>
          <wp:inline distT="0" distB="0" distL="114300" distR="114300">
            <wp:extent cx="5334000" cy="1520825"/>
            <wp:effectExtent l="0" t="0" r="0" b="0"/>
            <wp:docPr id="67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521168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19"/>
    <w:bookmarkEnd w:id="23"/>
    <w:p w14:paraId="17FCC837">
      <w:pPr>
        <w:pStyle w:val="4"/>
      </w:pPr>
      <w:bookmarkStart w:id="24" w:name="_Toc2357"/>
      <w:bookmarkStart w:id="25" w:name="合同邮寄信息"/>
      <w:r>
        <w:rPr>
          <w:rFonts w:hint="eastAsia"/>
        </w:rPr>
        <w:t>4、合同邮寄信息</w:t>
      </w:r>
      <w:bookmarkEnd w:id="24"/>
    </w:p>
    <w:p w14:paraId="6A4FE432">
      <w:pPr>
        <w:pStyle w:val="26"/>
      </w:pPr>
      <w:r>
        <w:rPr>
          <w:rFonts w:hint="eastAsia"/>
        </w:rPr>
        <w:t>主要包含了</w:t>
      </w:r>
      <w:r>
        <w:rPr>
          <w:rFonts w:hint="eastAsia"/>
          <w:b/>
          <w:bCs/>
        </w:rPr>
        <w:t>营业部的地址簿</w:t>
      </w:r>
      <w:r>
        <w:rPr>
          <w:rFonts w:hint="eastAsia"/>
        </w:rPr>
        <w:t>和</w:t>
      </w:r>
      <w:r>
        <w:rPr>
          <w:rFonts w:hint="eastAsia"/>
          <w:b/>
          <w:bCs/>
        </w:rPr>
        <w:t>邮寄信息查询。</w:t>
      </w:r>
    </w:p>
    <w:p w14:paraId="5733E779">
      <w:pPr>
        <w:pStyle w:val="3"/>
      </w:pPr>
      <w:r>
        <w:rPr>
          <w:rFonts w:hint="eastAsia"/>
          <w:b/>
          <w:bCs/>
        </w:rPr>
        <w:t>部门申领</w:t>
      </w:r>
      <w:r>
        <w:rPr>
          <w:rFonts w:hint="eastAsia"/>
        </w:rPr>
        <w:t>空白合同、</w:t>
      </w:r>
      <w:r>
        <w:rPr>
          <w:rFonts w:hint="eastAsia"/>
          <w:b/>
          <w:bCs/>
        </w:rPr>
        <w:t>合同归档</w:t>
      </w:r>
      <w:r>
        <w:rPr>
          <w:rFonts w:hint="eastAsia"/>
        </w:rPr>
        <w:t>都可以产生邮寄信息。这里是从邮寄的角度去查询分散在各处的邮寄信息。</w:t>
      </w:r>
    </w:p>
    <w:p w14:paraId="653C552C">
      <w:pPr>
        <w:pStyle w:val="3"/>
      </w:pPr>
      <w:r>
        <w:drawing>
          <wp:inline distT="0" distB="0" distL="114300" distR="114300">
            <wp:extent cx="5334000" cy="1386205"/>
            <wp:effectExtent l="0" t="0" r="0" b="0"/>
            <wp:docPr id="72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386778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245E14B">
      <w:pPr>
        <w:pStyle w:val="3"/>
      </w:pPr>
      <w:r>
        <w:drawing>
          <wp:inline distT="0" distB="0" distL="114300" distR="114300">
            <wp:extent cx="5334000" cy="2137410"/>
            <wp:effectExtent l="0" t="0" r="0" b="0"/>
            <wp:docPr id="75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137919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1A82824">
      <w:pPr>
        <w:pStyle w:val="13"/>
      </w:pPr>
      <w:r>
        <w:rPr>
          <w:rFonts w:hint="eastAsia"/>
          <w:b/>
          <w:bCs/>
        </w:rPr>
        <w:t>提示</w:t>
      </w:r>
    </w:p>
    <w:p w14:paraId="6B0C3255">
      <w:pPr>
        <w:pStyle w:val="27"/>
        <w:numPr>
          <w:ilvl w:val="0"/>
          <w:numId w:val="1"/>
        </w:numPr>
      </w:pPr>
      <w:r>
        <w:rPr>
          <w:rFonts w:hint="eastAsia"/>
        </w:rPr>
        <w:t>营业部列表，来自CRM后台的组织架构树，此处不可新增。</w:t>
      </w:r>
    </w:p>
    <w:p w14:paraId="0A5A61C7">
      <w:pPr>
        <w:pStyle w:val="27"/>
        <w:numPr>
          <w:ilvl w:val="0"/>
          <w:numId w:val="1"/>
        </w:numPr>
      </w:pPr>
      <w:r>
        <w:rPr>
          <w:rFonts w:hint="eastAsia"/>
        </w:rPr>
        <w:t>EXCEL导入：即通过导入EXCEL文件的方式来实现营业部地址信息的批量修改。</w:t>
      </w:r>
    </w:p>
    <w:bookmarkEnd w:id="25"/>
    <w:p w14:paraId="1038E19C">
      <w:pPr>
        <w:pStyle w:val="4"/>
      </w:pPr>
      <w:bookmarkStart w:id="26" w:name="_Toc14276"/>
      <w:bookmarkStart w:id="27" w:name="合同查询"/>
      <w:r>
        <w:rPr>
          <w:rFonts w:hint="eastAsia"/>
        </w:rPr>
        <w:t>5、合同查询</w:t>
      </w:r>
      <w:bookmarkEnd w:id="26"/>
    </w:p>
    <w:p w14:paraId="10F2A235">
      <w:pPr>
        <w:pStyle w:val="26"/>
      </w:pPr>
      <w:r>
        <w:rPr>
          <w:rFonts w:hint="eastAsia"/>
        </w:rPr>
        <w:t>查询所有入库的合同，该页面实现了</w:t>
      </w:r>
      <w:r>
        <w:rPr>
          <w:rFonts w:hint="eastAsia"/>
          <w:b/>
          <w:bCs/>
        </w:rPr>
        <w:t>数据权限</w:t>
      </w:r>
      <w:r>
        <w:rPr>
          <w:rFonts w:hint="eastAsia"/>
        </w:rPr>
        <w:t>（操作员只能看到自己部门内的合同）</w:t>
      </w:r>
    </w:p>
    <w:p w14:paraId="225EA6D0">
      <w:pPr>
        <w:pStyle w:val="3"/>
      </w:pPr>
      <w:r>
        <w:drawing>
          <wp:inline distT="0" distB="0" distL="114300" distR="114300">
            <wp:extent cx="5334000" cy="2712720"/>
            <wp:effectExtent l="0" t="0" r="0" b="0"/>
            <wp:docPr id="79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713302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27"/>
    <w:p w14:paraId="021144BF">
      <w:pPr>
        <w:pStyle w:val="4"/>
      </w:pPr>
      <w:bookmarkStart w:id="28" w:name="_Toc26110"/>
      <w:bookmarkStart w:id="29" w:name="搭配流程使用"/>
      <w:r>
        <w:rPr>
          <w:rFonts w:hint="eastAsia"/>
        </w:rPr>
        <w:t>6、搭配流程使用</w:t>
      </w:r>
      <w:bookmarkEnd w:id="28"/>
    </w:p>
    <w:p w14:paraId="3C7B4ACC">
      <w:pPr>
        <w:pStyle w:val="26"/>
      </w:pPr>
      <w:r>
        <w:rPr>
          <w:rFonts w:hint="eastAsia"/>
        </w:rPr>
        <w:t>部门申领、合同归档、合同作废这些个业务可会涉及物流，会需要跟踪和确认，所以提供用流程的方式来表达这个业务。</w:t>
      </w:r>
      <w:r>
        <w:rPr>
          <w:rFonts w:hint="eastAsia"/>
          <w:b/>
          <w:bCs/>
        </w:rPr>
        <w:t>要使用流程，是需要对德索的【业务管理平台】有一定的了解。</w:t>
      </w:r>
    </w:p>
    <w:p w14:paraId="69E1808D">
      <w:pPr>
        <w:pStyle w:val="3"/>
      </w:pPr>
      <w:r>
        <w:rPr>
          <w:rFonts w:hint="eastAsia"/>
        </w:rPr>
        <w:t>流程的发起可以在【合同管理】模块内发起也可以【业务管理平台】模块内发起，作用一样。流程的审核是在【业务管理平台】模块内进行的。</w:t>
      </w:r>
    </w:p>
    <w:p w14:paraId="6FEBB9F6">
      <w:pPr>
        <w:pStyle w:val="3"/>
      </w:pPr>
      <w:r>
        <w:rPr>
          <w:rFonts w:hint="eastAsia"/>
        </w:rPr>
        <w:t>当然，也运行设置为【业务管理平台】不能手工发起【合同管理】模块的流程。所以，根据偏好来选择即可。推荐通过【业务管理平台】来发起流程。</w:t>
      </w:r>
    </w:p>
    <w:p w14:paraId="6400FEA1">
      <w:pPr>
        <w:pStyle w:val="3"/>
      </w:pPr>
      <w:r>
        <w:rPr>
          <w:rFonts w:hint="eastAsia"/>
        </w:rPr>
        <w:t>另外，【合同管理】模块在上线之初会初始化</w:t>
      </w:r>
      <w:r>
        <w:t xml:space="preserve"> </w:t>
      </w:r>
      <w:r>
        <w:rPr>
          <w:rFonts w:hint="eastAsia"/>
        </w:rPr>
        <w:t>部门申领、合同归档、合同作废、合同遗失(作废)4个流程。也允许管理员对流程进行进一步的调整，如调整审核节点，调整控件的可见/可编辑权限等等。</w:t>
      </w:r>
    </w:p>
    <w:p w14:paraId="6394591B">
      <w:pPr>
        <w:pStyle w:val="5"/>
      </w:pPr>
      <w:bookmarkStart w:id="30" w:name="_Toc13835"/>
      <w:bookmarkStart w:id="31" w:name="部门申领流程"/>
      <w:r>
        <w:rPr>
          <w:rFonts w:hint="eastAsia"/>
        </w:rPr>
        <w:t>6.1、部门申领流程</w:t>
      </w:r>
      <w:bookmarkEnd w:id="30"/>
    </w:p>
    <w:p w14:paraId="28B07D50">
      <w:pPr>
        <w:pStyle w:val="26"/>
      </w:pPr>
      <w:r>
        <w:rPr>
          <w:rFonts w:hint="eastAsia"/>
        </w:rPr>
        <w:t>发起部门申领流程</w:t>
      </w:r>
    </w:p>
    <w:p w14:paraId="4AF803D2">
      <w:pPr>
        <w:pStyle w:val="3"/>
      </w:pPr>
      <w:r>
        <w:drawing>
          <wp:inline distT="0" distB="0" distL="114300" distR="114300">
            <wp:extent cx="5334000" cy="2288540"/>
            <wp:effectExtent l="0" t="0" r="0" b="0"/>
            <wp:docPr id="83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288744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0D9D8C2">
      <w:pPr>
        <w:pStyle w:val="3"/>
      </w:pPr>
      <w:r>
        <w:rPr>
          <w:rFonts w:hint="eastAsia"/>
        </w:rPr>
        <w:t>管理员可以在【业务管理平台】中进行申领流程的审核。合同归档、合同作废</w:t>
      </w:r>
      <w:r>
        <w:t xml:space="preserve"> </w:t>
      </w:r>
      <w:r>
        <w:rPr>
          <w:rFonts w:hint="eastAsia"/>
        </w:rPr>
        <w:t>同理。</w:t>
      </w:r>
    </w:p>
    <w:p w14:paraId="6E43FEA0">
      <w:pPr>
        <w:pStyle w:val="3"/>
      </w:pPr>
      <w:r>
        <w:drawing>
          <wp:inline distT="0" distB="0" distL="114300" distR="114300">
            <wp:extent cx="5334000" cy="1896745"/>
            <wp:effectExtent l="0" t="0" r="0" b="0"/>
            <wp:docPr id="86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897131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31"/>
    <w:p w14:paraId="7D691F24">
      <w:pPr>
        <w:pStyle w:val="5"/>
      </w:pPr>
      <w:bookmarkStart w:id="32" w:name="_Toc23655"/>
      <w:bookmarkStart w:id="33" w:name="合同归档流程"/>
      <w:r>
        <w:rPr>
          <w:rFonts w:hint="eastAsia"/>
        </w:rPr>
        <w:t>6.2、合同归档流程</w:t>
      </w:r>
      <w:bookmarkEnd w:id="32"/>
    </w:p>
    <w:p w14:paraId="747B88BB">
      <w:pPr>
        <w:pStyle w:val="26"/>
      </w:pPr>
      <w:r>
        <w:drawing>
          <wp:inline distT="0" distB="0" distL="114300" distR="114300">
            <wp:extent cx="5334000" cy="3702685"/>
            <wp:effectExtent l="0" t="0" r="0" b="0"/>
            <wp:docPr id="90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703144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33"/>
    <w:p w14:paraId="6FF6711A">
      <w:pPr>
        <w:pStyle w:val="5"/>
      </w:pPr>
      <w:bookmarkStart w:id="34" w:name="_Toc29117"/>
      <w:bookmarkStart w:id="35" w:name="合同作废遗失流程"/>
      <w:r>
        <w:rPr>
          <w:rFonts w:hint="eastAsia"/>
        </w:rPr>
        <w:t>6.3、合同作废(遗失)流程</w:t>
      </w:r>
      <w:bookmarkEnd w:id="34"/>
    </w:p>
    <w:p w14:paraId="1F1E0C89">
      <w:pPr>
        <w:pStyle w:val="26"/>
      </w:pPr>
      <w:r>
        <w:drawing>
          <wp:inline distT="0" distB="0" distL="114300" distR="114300">
            <wp:extent cx="5334000" cy="1976120"/>
            <wp:effectExtent l="0" t="0" r="0" b="0"/>
            <wp:docPr id="94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976606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29"/>
    <w:bookmarkEnd w:id="35"/>
    <w:p w14:paraId="588E5989">
      <w:pPr>
        <w:pStyle w:val="4"/>
      </w:pPr>
      <w:bookmarkStart w:id="36" w:name="_Toc29869"/>
      <w:bookmarkStart w:id="37" w:name="其他新增功能"/>
      <w:r>
        <w:rPr>
          <w:rFonts w:hint="eastAsia"/>
        </w:rPr>
        <w:t>7、其他新增功能</w:t>
      </w:r>
      <w:bookmarkEnd w:id="36"/>
    </w:p>
    <w:p w14:paraId="3EE2F895">
      <w:pPr>
        <w:pStyle w:val="5"/>
      </w:pPr>
      <w:bookmarkStart w:id="38" w:name="_Toc20080"/>
      <w:bookmarkStart w:id="39" w:name="增加柜台中资金账号与合同编号的绑定关系2023.5.10"/>
      <w:r>
        <w:rPr>
          <w:rFonts w:hint="eastAsia"/>
        </w:rPr>
        <w:t>7.1、增加柜台中资金账号与合同编号的绑定关系(2023.5.10)</w:t>
      </w:r>
      <w:bookmarkEnd w:id="38"/>
    </w:p>
    <w:p w14:paraId="3A16C387">
      <w:pPr>
        <w:pStyle w:val="26"/>
      </w:pPr>
      <w:r>
        <w:rPr>
          <w:rFonts w:hint="eastAsia"/>
        </w:rPr>
        <w:t>我们知道柜台开户时会登记合同编号，合同模块里面也会记录客户，本功能会显示合同与与俩边的关系，并提示不一致的情况。</w:t>
      </w:r>
    </w:p>
    <w:p w14:paraId="47FB5765">
      <w:pPr>
        <w:pStyle w:val="3"/>
      </w:pPr>
      <w:r>
        <w:drawing>
          <wp:inline distT="0" distB="0" distL="114300" distR="114300">
            <wp:extent cx="5334000" cy="2145030"/>
            <wp:effectExtent l="0" t="0" r="0" b="0"/>
            <wp:docPr id="99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1451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39"/>
    <w:p w14:paraId="3C59FB40">
      <w:pPr>
        <w:pStyle w:val="5"/>
      </w:pPr>
      <w:bookmarkStart w:id="40" w:name="_Toc22301"/>
      <w:bookmarkStart w:id="41" w:name="邮寄记录页面增强2023.5.10"/>
      <w:r>
        <w:rPr>
          <w:rFonts w:hint="eastAsia"/>
        </w:rPr>
        <w:t>7.2、【邮寄记录】页面增强(2023.5.10)</w:t>
      </w:r>
      <w:bookmarkEnd w:id="40"/>
    </w:p>
    <w:p w14:paraId="00995D30">
      <w:pPr>
        <w:pStyle w:val="26"/>
      </w:pPr>
      <w:r>
        <w:rPr>
          <w:rFonts w:hint="eastAsia"/>
        </w:rPr>
        <w:t>查询条件增加了”合同编号”；显示内容增加了流程信息、合同信息。</w:t>
      </w:r>
    </w:p>
    <w:p w14:paraId="6EB69C2D">
      <w:pPr>
        <w:pStyle w:val="3"/>
      </w:pPr>
      <w:r>
        <w:rPr>
          <w:rFonts w:hint="eastAsia"/>
        </w:rPr>
        <w:t>从而实现：通过合同编号查快递信息；通过快递信息查合同编号</w:t>
      </w:r>
    </w:p>
    <w:p w14:paraId="7117BC50">
      <w:pPr>
        <w:pStyle w:val="3"/>
      </w:pPr>
      <w:r>
        <w:drawing>
          <wp:inline distT="0" distB="0" distL="114300" distR="114300">
            <wp:extent cx="5334000" cy="1802130"/>
            <wp:effectExtent l="0" t="0" r="0" b="0"/>
            <wp:docPr id="103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8023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41"/>
    <w:p w14:paraId="19B397E5">
      <w:pPr>
        <w:pStyle w:val="5"/>
      </w:pPr>
      <w:bookmarkStart w:id="42" w:name="_Toc551"/>
      <w:bookmarkStart w:id="43" w:name="邮寄信息控件改进2023.5.10"/>
      <w:r>
        <w:rPr>
          <w:rFonts w:hint="eastAsia"/>
        </w:rPr>
        <w:t>7.3、邮寄信息控件改进(2023.5.10)</w:t>
      </w:r>
      <w:bookmarkEnd w:id="42"/>
    </w:p>
    <w:p w14:paraId="06747E30">
      <w:pPr>
        <w:pStyle w:val="26"/>
      </w:pPr>
      <w:r>
        <w:rPr>
          <w:rFonts w:hint="eastAsia"/>
        </w:rPr>
        <w:t>寄件人/寄件营业部/签收人设定为默认操作员或所属部门，寄件时间/收件时间默认操作日；</w:t>
      </w:r>
    </w:p>
    <w:p w14:paraId="7598E694">
      <w:pPr>
        <w:pStyle w:val="3"/>
      </w:pPr>
      <w:r>
        <w:rPr>
          <w:rFonts w:hint="eastAsia"/>
        </w:rPr>
        <w:t>显示收件人的营业部，且收件人处可以联想出【址簿里面】的部门或收件人。</w:t>
      </w:r>
    </w:p>
    <w:p w14:paraId="2695AAB0">
      <w:pPr>
        <w:pStyle w:val="3"/>
      </w:pPr>
      <w:r>
        <w:drawing>
          <wp:inline distT="0" distB="0" distL="114300" distR="114300">
            <wp:extent cx="5334000" cy="3187065"/>
            <wp:effectExtent l="0" t="0" r="0" b="0"/>
            <wp:docPr id="107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187546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1"/>
    <w:bookmarkEnd w:id="37"/>
    <w:bookmarkEnd w:id="43"/>
    <w:sectPr>
      <w:footnotePr>
        <w:numRestart w:val="eachSect"/>
      </w:footnotePr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egoe UI"/>
    <w:panose1 w:val="020B0004020202020204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A991"/>
    <w:multiLevelType w:val="multilevel"/>
    <w:tmpl w:val="0000A991"/>
    <w:lvl w:ilvl="0" w:tentative="0">
      <w:start w:val="0"/>
      <w:numFmt w:val="bullet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 w:tentative="0">
      <w:start w:val="0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0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entative="0">
      <w:start w:val="0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entative="0">
      <w:start w:val="0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0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entative="0">
      <w:start w:val="0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entative="0">
      <w:start w:val="0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0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doNotTrackMoves/>
  <w:documentProtection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0"/>
    <w:footnote w:id="1"/>
  </w:footnotePr>
  <w:compat>
    <w:useFELayout/>
    <w:splitPgBreakAndParaMark/>
    <w:compatSetting w:name="compatibilityMode" w:uri="http://schemas.microsoft.com/office/word" w:val="12"/>
  </w:compat>
  <w:rsids>
    <w:rsidRoot w:val="00000000"/>
    <w:rsid w:val="0C69768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3"/>
    <w:link w:val="34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4">
    <w:name w:val="heading 2"/>
    <w:basedOn w:val="1"/>
    <w:next w:val="3"/>
    <w:link w:val="35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5">
    <w:name w:val="heading 3"/>
    <w:basedOn w:val="1"/>
    <w:next w:val="3"/>
    <w:link w:val="36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6">
    <w:name w:val="heading 4"/>
    <w:basedOn w:val="1"/>
    <w:next w:val="3"/>
    <w:link w:val="37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7">
    <w:name w:val="heading 5"/>
    <w:basedOn w:val="1"/>
    <w:next w:val="3"/>
    <w:link w:val="38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8">
    <w:name w:val="heading 6"/>
    <w:basedOn w:val="1"/>
    <w:next w:val="3"/>
    <w:link w:val="39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85858" w:themeColor="text1" w:themeTint="A6"/>
    </w:rPr>
  </w:style>
  <w:style w:type="paragraph" w:styleId="9">
    <w:name w:val="heading 7"/>
    <w:basedOn w:val="1"/>
    <w:next w:val="3"/>
    <w:link w:val="40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85858" w:themeColor="text1" w:themeTint="A6"/>
    </w:rPr>
  </w:style>
  <w:style w:type="paragraph" w:styleId="10">
    <w:name w:val="heading 8"/>
    <w:basedOn w:val="1"/>
    <w:next w:val="3"/>
    <w:link w:val="41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8"/>
    </w:rPr>
  </w:style>
  <w:style w:type="paragraph" w:styleId="11">
    <w:name w:val="heading 9"/>
    <w:basedOn w:val="1"/>
    <w:next w:val="3"/>
    <w:link w:val="42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8"/>
    </w:rPr>
  </w:style>
  <w:style w:type="character" w:default="1" w:styleId="22">
    <w:name w:val="Default Paragraph Font"/>
    <w:semiHidden/>
    <w:unhideWhenUsed/>
    <w:uiPriority w:val="0"/>
  </w:style>
  <w:style w:type="table" w:default="1" w:styleId="21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4"/>
    <w:qFormat/>
    <w:uiPriority w:val="0"/>
    <w:pPr>
      <w:spacing w:before="180" w:after="180"/>
    </w:pPr>
  </w:style>
  <w:style w:type="paragraph" w:styleId="12">
    <w:name w:val="caption"/>
    <w:basedOn w:val="1"/>
    <w:uiPriority w:val="0"/>
    <w:pPr>
      <w:spacing w:before="0" w:after="120"/>
    </w:pPr>
    <w:rPr>
      <w:i/>
    </w:rPr>
  </w:style>
  <w:style w:type="paragraph" w:styleId="13">
    <w:name w:val="Block Text"/>
    <w:basedOn w:val="3"/>
    <w:next w:val="3"/>
    <w:unhideWhenUsed/>
    <w:qFormat/>
    <w:uiPriority w:val="9"/>
    <w:pPr>
      <w:spacing w:before="100" w:after="100"/>
      <w:ind w:left="480" w:right="480" w:firstLine="0"/>
    </w:pPr>
  </w:style>
  <w:style w:type="paragraph" w:styleId="14">
    <w:name w:val="toc 3"/>
    <w:basedOn w:val="1"/>
    <w:next w:val="1"/>
    <w:uiPriority w:val="0"/>
    <w:pPr>
      <w:ind w:left="840" w:leftChars="400"/>
    </w:pPr>
  </w:style>
  <w:style w:type="paragraph" w:styleId="15">
    <w:name w:val="Date"/>
    <w:basedOn w:val="16"/>
    <w:next w:val="3"/>
    <w:qFormat/>
    <w:uiPriority w:val="0"/>
    <w:pPr>
      <w:keepNext/>
      <w:keepLines/>
    </w:pPr>
    <w:rPr>
      <w:sz w:val="24"/>
      <w:szCs w:val="24"/>
    </w:rPr>
  </w:style>
  <w:style w:type="paragraph" w:styleId="16">
    <w:name w:val="Title"/>
    <w:basedOn w:val="1"/>
    <w:next w:val="3"/>
    <w:link w:val="28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z w:val="56"/>
      <w:szCs w:val="56"/>
    </w:rPr>
  </w:style>
  <w:style w:type="paragraph" w:styleId="17">
    <w:name w:val="toc 1"/>
    <w:basedOn w:val="1"/>
    <w:next w:val="1"/>
    <w:uiPriority w:val="0"/>
  </w:style>
  <w:style w:type="paragraph" w:styleId="18">
    <w:name w:val="Subtitle"/>
    <w:basedOn w:val="16"/>
    <w:next w:val="3"/>
    <w:link w:val="29"/>
    <w:qFormat/>
    <w:uiPriority w:val="11"/>
    <w:rPr>
      <w:rFonts w:eastAsiaTheme="majorEastAsia" w:cstheme="majorBidi"/>
      <w:spacing w:val="15"/>
      <w:sz w:val="28"/>
      <w:szCs w:val="28"/>
    </w:rPr>
  </w:style>
  <w:style w:type="paragraph" w:styleId="19">
    <w:name w:val="footnote text"/>
    <w:basedOn w:val="1"/>
    <w:unhideWhenUsed/>
    <w:qFormat/>
    <w:uiPriority w:val="9"/>
  </w:style>
  <w:style w:type="paragraph" w:styleId="20">
    <w:name w:val="toc 2"/>
    <w:basedOn w:val="1"/>
    <w:next w:val="1"/>
    <w:uiPriority w:val="0"/>
    <w:pPr>
      <w:ind w:left="420" w:leftChars="200"/>
    </w:pPr>
  </w:style>
  <w:style w:type="character" w:styleId="23">
    <w:name w:val="Hyperlink"/>
    <w:basedOn w:val="24"/>
    <w:uiPriority w:val="0"/>
    <w:rPr>
      <w:color w:val="156082" w:themeColor="accent1"/>
    </w:rPr>
  </w:style>
  <w:style w:type="character" w:customStyle="1" w:styleId="24">
    <w:name w:val="Body Text Char"/>
    <w:basedOn w:val="22"/>
    <w:link w:val="3"/>
    <w:uiPriority w:val="0"/>
  </w:style>
  <w:style w:type="character" w:styleId="25">
    <w:name w:val="footnote reference"/>
    <w:basedOn w:val="24"/>
    <w:qFormat/>
    <w:uiPriority w:val="0"/>
    <w:rPr>
      <w:vertAlign w:val="superscript"/>
    </w:rPr>
  </w:style>
  <w:style w:type="paragraph" w:customStyle="1" w:styleId="26">
    <w:name w:val="First Paragraph"/>
    <w:basedOn w:val="3"/>
    <w:next w:val="3"/>
    <w:qFormat/>
    <w:uiPriority w:val="0"/>
  </w:style>
  <w:style w:type="paragraph" w:customStyle="1" w:styleId="27">
    <w:name w:val="Compact"/>
    <w:basedOn w:val="3"/>
    <w:qFormat/>
    <w:uiPriority w:val="0"/>
    <w:pPr>
      <w:spacing w:before="36" w:after="36"/>
    </w:pPr>
  </w:style>
  <w:style w:type="character" w:customStyle="1" w:styleId="28">
    <w:name w:val="Title Char"/>
    <w:basedOn w:val="22"/>
    <w:link w:val="16"/>
    <w:qFormat/>
    <w:uiPriority w:val="10"/>
    <w:rPr>
      <w:rFonts w:asciiTheme="majorHAnsi" w:hAnsiTheme="majorHAnsi" w:eastAsiaTheme="majorEastAsia" w:cstheme="majorBidi"/>
      <w:sz w:val="56"/>
      <w:szCs w:val="56"/>
    </w:rPr>
  </w:style>
  <w:style w:type="character" w:customStyle="1" w:styleId="29">
    <w:name w:val="Subtitle Char"/>
    <w:basedOn w:val="22"/>
    <w:link w:val="18"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customStyle="1" w:styleId="30">
    <w:name w:val="Author"/>
    <w:basedOn w:val="16"/>
    <w:next w:val="3"/>
    <w:qFormat/>
    <w:uiPriority w:val="0"/>
    <w:pPr>
      <w:keepNext/>
      <w:keepLines/>
    </w:pPr>
    <w:rPr>
      <w:sz w:val="24"/>
      <w:szCs w:val="24"/>
    </w:rPr>
  </w:style>
  <w:style w:type="paragraph" w:customStyle="1" w:styleId="31">
    <w:name w:val="Abstract Title"/>
    <w:basedOn w:val="1"/>
    <w:next w:val="32"/>
    <w:qFormat/>
    <w:uiPriority w:val="0"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32">
    <w:name w:val="Abstract"/>
    <w:basedOn w:val="1"/>
    <w:next w:val="3"/>
    <w:qFormat/>
    <w:uiPriority w:val="0"/>
    <w:pPr>
      <w:keepNext/>
      <w:keepLines/>
      <w:spacing w:before="100" w:after="300"/>
    </w:pPr>
    <w:rPr>
      <w:sz w:val="20"/>
      <w:szCs w:val="20"/>
    </w:rPr>
  </w:style>
  <w:style w:type="paragraph" w:customStyle="1" w:styleId="33">
    <w:name w:val="Bibliography"/>
    <w:basedOn w:val="1"/>
    <w:qFormat/>
    <w:uiPriority w:val="0"/>
  </w:style>
  <w:style w:type="character" w:customStyle="1" w:styleId="34">
    <w:name w:val="Heading 1 Char"/>
    <w:basedOn w:val="22"/>
    <w:link w:val="2"/>
    <w:qFormat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customStyle="1" w:styleId="35">
    <w:name w:val="Heading 2 Char"/>
    <w:basedOn w:val="22"/>
    <w:link w:val="4"/>
    <w:semiHidden/>
    <w:qFormat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customStyle="1" w:styleId="36">
    <w:name w:val="Heading 3 Char"/>
    <w:basedOn w:val="22"/>
    <w:link w:val="5"/>
    <w:semiHidden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37">
    <w:name w:val="Heading 4 Char"/>
    <w:basedOn w:val="22"/>
    <w:link w:val="6"/>
    <w:semiHidden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38">
    <w:name w:val="Heading 5 Char"/>
    <w:basedOn w:val="22"/>
    <w:link w:val="7"/>
    <w:semiHidden/>
    <w:uiPriority w:val="9"/>
    <w:rPr>
      <w:rFonts w:eastAsiaTheme="majorEastAsia" w:cstheme="majorBidi"/>
      <w:color w:val="0F4761" w:themeColor="accent1" w:themeShade="BF"/>
    </w:rPr>
  </w:style>
  <w:style w:type="character" w:customStyle="1" w:styleId="39">
    <w:name w:val="Heading 6 Char"/>
    <w:basedOn w:val="22"/>
    <w:link w:val="8"/>
    <w:semiHidden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40">
    <w:name w:val="Heading 7 Char"/>
    <w:basedOn w:val="22"/>
    <w:link w:val="9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41">
    <w:name w:val="Heading 8 Char"/>
    <w:basedOn w:val="22"/>
    <w:link w:val="10"/>
    <w:semiHidden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42">
    <w:name w:val="Heading 9 Char"/>
    <w:basedOn w:val="22"/>
    <w:link w:val="11"/>
    <w:semiHidden/>
    <w:uiPriority w:val="9"/>
    <w:rPr>
      <w:rFonts w:eastAsiaTheme="majorEastAsia" w:cstheme="majorBidi"/>
      <w:color w:val="262626" w:themeColor="text1" w:themeTint="D8"/>
    </w:rPr>
  </w:style>
  <w:style w:type="paragraph" w:customStyle="1" w:styleId="43">
    <w:name w:val="Footnote Block Text"/>
    <w:basedOn w:val="19"/>
    <w:next w:val="19"/>
    <w:unhideWhenUsed/>
    <w:qFormat/>
    <w:uiPriority w:val="9"/>
    <w:pPr>
      <w:spacing w:before="100" w:after="100"/>
      <w:ind w:left="480" w:right="480" w:firstLine="0"/>
    </w:pPr>
  </w:style>
  <w:style w:type="table" w:customStyle="1" w:styleId="44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color="auto" w:sz="0" w:space="0"/>
        </w:tcBorders>
        <w:vAlign w:val="bottom"/>
      </w:tcPr>
    </w:tblStylePr>
  </w:style>
  <w:style w:type="paragraph" w:customStyle="1" w:styleId="45">
    <w:name w:val="Definition Term"/>
    <w:basedOn w:val="1"/>
    <w:next w:val="46"/>
    <w:uiPriority w:val="0"/>
    <w:pPr>
      <w:keepNext/>
      <w:keepLines/>
      <w:spacing w:after="0"/>
    </w:pPr>
    <w:rPr>
      <w:b/>
    </w:rPr>
  </w:style>
  <w:style w:type="paragraph" w:customStyle="1" w:styleId="46">
    <w:name w:val="Definition"/>
    <w:basedOn w:val="1"/>
    <w:uiPriority w:val="0"/>
  </w:style>
  <w:style w:type="paragraph" w:customStyle="1" w:styleId="47">
    <w:name w:val="Table Caption"/>
    <w:basedOn w:val="12"/>
    <w:uiPriority w:val="0"/>
    <w:pPr>
      <w:keepNext/>
    </w:pPr>
  </w:style>
  <w:style w:type="paragraph" w:customStyle="1" w:styleId="48">
    <w:name w:val="Image Caption"/>
    <w:basedOn w:val="12"/>
    <w:uiPriority w:val="0"/>
  </w:style>
  <w:style w:type="paragraph" w:customStyle="1" w:styleId="49">
    <w:name w:val="Figure"/>
    <w:basedOn w:val="1"/>
    <w:uiPriority w:val="0"/>
  </w:style>
  <w:style w:type="paragraph" w:customStyle="1" w:styleId="50">
    <w:name w:val="Captioned Figure"/>
    <w:basedOn w:val="49"/>
    <w:uiPriority w:val="0"/>
    <w:pPr>
      <w:keepNext/>
    </w:pPr>
  </w:style>
  <w:style w:type="character" w:customStyle="1" w:styleId="51">
    <w:name w:val="Verbatim Char"/>
    <w:basedOn w:val="24"/>
    <w:link w:val="52"/>
    <w:uiPriority w:val="0"/>
    <w:rPr>
      <w:rFonts w:ascii="Consolas" w:hAnsi="Consolas"/>
      <w:sz w:val="22"/>
    </w:rPr>
  </w:style>
  <w:style w:type="paragraph" w:customStyle="1" w:styleId="52">
    <w:name w:val="Source Code"/>
    <w:basedOn w:val="1"/>
    <w:link w:val="51"/>
    <w:qFormat/>
    <w:uiPriority w:val="0"/>
    <w:pPr>
      <w:wordWrap w:val="0"/>
    </w:pPr>
  </w:style>
  <w:style w:type="character" w:customStyle="1" w:styleId="53">
    <w:name w:val="Section Number"/>
    <w:basedOn w:val="24"/>
    <w:uiPriority w:val="0"/>
  </w:style>
  <w:style w:type="paragraph" w:customStyle="1" w:styleId="54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  <w:rPr>
      <w:rFonts w:asciiTheme="majorHAnsi" w:hAnsiTheme="majorHAnsi" w:eastAsiaTheme="majorEastAsia" w:cstheme="majorBidi"/>
      <w:color w:val="0F4761" w:themeColor="accent1" w:themeShade="BF"/>
    </w:rPr>
  </w:style>
  <w:style w:type="character" w:customStyle="1" w:styleId="55">
    <w:name w:val="KeywordTok"/>
    <w:basedOn w:val="51"/>
    <w:qFormat/>
    <w:uiPriority w:val="0"/>
    <w:rPr>
      <w:b/>
      <w:color w:val="007020"/>
    </w:rPr>
  </w:style>
  <w:style w:type="character" w:customStyle="1" w:styleId="56">
    <w:name w:val="DataTypeTok"/>
    <w:basedOn w:val="51"/>
    <w:qFormat/>
    <w:uiPriority w:val="0"/>
    <w:rPr>
      <w:color w:val="902000"/>
    </w:rPr>
  </w:style>
  <w:style w:type="character" w:customStyle="1" w:styleId="57">
    <w:name w:val="DecValTok"/>
    <w:basedOn w:val="51"/>
    <w:qFormat/>
    <w:uiPriority w:val="0"/>
    <w:rPr>
      <w:color w:val="40A070"/>
    </w:rPr>
  </w:style>
  <w:style w:type="character" w:customStyle="1" w:styleId="58">
    <w:name w:val="BaseNTok"/>
    <w:basedOn w:val="51"/>
    <w:uiPriority w:val="0"/>
    <w:rPr>
      <w:color w:val="40A070"/>
    </w:rPr>
  </w:style>
  <w:style w:type="character" w:customStyle="1" w:styleId="59">
    <w:name w:val="FloatTok"/>
    <w:basedOn w:val="51"/>
    <w:qFormat/>
    <w:uiPriority w:val="0"/>
    <w:rPr>
      <w:color w:val="40A070"/>
    </w:rPr>
  </w:style>
  <w:style w:type="character" w:customStyle="1" w:styleId="60">
    <w:name w:val="ConstantTok"/>
    <w:basedOn w:val="51"/>
    <w:qFormat/>
    <w:uiPriority w:val="0"/>
    <w:rPr>
      <w:color w:val="880000"/>
    </w:rPr>
  </w:style>
  <w:style w:type="character" w:customStyle="1" w:styleId="61">
    <w:name w:val="CharTok"/>
    <w:basedOn w:val="51"/>
    <w:qFormat/>
    <w:uiPriority w:val="0"/>
    <w:rPr>
      <w:color w:val="4070A0"/>
    </w:rPr>
  </w:style>
  <w:style w:type="character" w:customStyle="1" w:styleId="62">
    <w:name w:val="SpecialCharTok"/>
    <w:basedOn w:val="51"/>
    <w:qFormat/>
    <w:uiPriority w:val="0"/>
    <w:rPr>
      <w:color w:val="4070A0"/>
    </w:rPr>
  </w:style>
  <w:style w:type="character" w:customStyle="1" w:styleId="63">
    <w:name w:val="StringTok"/>
    <w:basedOn w:val="51"/>
    <w:qFormat/>
    <w:uiPriority w:val="0"/>
    <w:rPr>
      <w:color w:val="4070A0"/>
    </w:rPr>
  </w:style>
  <w:style w:type="character" w:customStyle="1" w:styleId="64">
    <w:name w:val="VerbatimStringTok"/>
    <w:basedOn w:val="51"/>
    <w:uiPriority w:val="0"/>
    <w:rPr>
      <w:color w:val="4070A0"/>
    </w:rPr>
  </w:style>
  <w:style w:type="character" w:customStyle="1" w:styleId="65">
    <w:name w:val="SpecialStringTok"/>
    <w:basedOn w:val="51"/>
    <w:qFormat/>
    <w:uiPriority w:val="0"/>
    <w:rPr>
      <w:color w:val="BB6688"/>
    </w:rPr>
  </w:style>
  <w:style w:type="character" w:customStyle="1" w:styleId="66">
    <w:name w:val="ImportTok"/>
    <w:basedOn w:val="51"/>
    <w:qFormat/>
    <w:uiPriority w:val="0"/>
    <w:rPr>
      <w:b/>
      <w:color w:val="008000"/>
    </w:rPr>
  </w:style>
  <w:style w:type="character" w:customStyle="1" w:styleId="67">
    <w:name w:val="CommentTok"/>
    <w:basedOn w:val="51"/>
    <w:uiPriority w:val="0"/>
    <w:rPr>
      <w:i/>
      <w:color w:val="60A0B0"/>
    </w:rPr>
  </w:style>
  <w:style w:type="character" w:customStyle="1" w:styleId="68">
    <w:name w:val="DocumentationTok"/>
    <w:basedOn w:val="51"/>
    <w:qFormat/>
    <w:uiPriority w:val="0"/>
    <w:rPr>
      <w:i/>
      <w:color w:val="BA2121"/>
    </w:rPr>
  </w:style>
  <w:style w:type="character" w:customStyle="1" w:styleId="69">
    <w:name w:val="AnnotationTok"/>
    <w:basedOn w:val="51"/>
    <w:qFormat/>
    <w:uiPriority w:val="0"/>
    <w:rPr>
      <w:b/>
      <w:i/>
      <w:color w:val="60A0B0"/>
    </w:rPr>
  </w:style>
  <w:style w:type="character" w:customStyle="1" w:styleId="70">
    <w:name w:val="CommentVarTok"/>
    <w:basedOn w:val="51"/>
    <w:uiPriority w:val="0"/>
    <w:rPr>
      <w:b/>
      <w:i/>
      <w:color w:val="60A0B0"/>
    </w:rPr>
  </w:style>
  <w:style w:type="character" w:customStyle="1" w:styleId="71">
    <w:name w:val="OtherTok"/>
    <w:basedOn w:val="51"/>
    <w:uiPriority w:val="0"/>
    <w:rPr>
      <w:color w:val="007020"/>
    </w:rPr>
  </w:style>
  <w:style w:type="character" w:customStyle="1" w:styleId="72">
    <w:name w:val="FunctionTok"/>
    <w:basedOn w:val="51"/>
    <w:qFormat/>
    <w:uiPriority w:val="0"/>
    <w:rPr>
      <w:color w:val="06287E"/>
    </w:rPr>
  </w:style>
  <w:style w:type="character" w:customStyle="1" w:styleId="73">
    <w:name w:val="VariableTok"/>
    <w:basedOn w:val="51"/>
    <w:qFormat/>
    <w:uiPriority w:val="0"/>
    <w:rPr>
      <w:color w:val="19177C"/>
    </w:rPr>
  </w:style>
  <w:style w:type="character" w:customStyle="1" w:styleId="74">
    <w:name w:val="ControlFlowTok"/>
    <w:basedOn w:val="51"/>
    <w:uiPriority w:val="0"/>
    <w:rPr>
      <w:b/>
      <w:color w:val="007020"/>
    </w:rPr>
  </w:style>
  <w:style w:type="character" w:customStyle="1" w:styleId="75">
    <w:name w:val="OperatorTok"/>
    <w:basedOn w:val="51"/>
    <w:uiPriority w:val="0"/>
    <w:rPr>
      <w:color w:val="666666"/>
    </w:rPr>
  </w:style>
  <w:style w:type="character" w:customStyle="1" w:styleId="76">
    <w:name w:val="BuiltInTok"/>
    <w:basedOn w:val="51"/>
    <w:qFormat/>
    <w:uiPriority w:val="0"/>
    <w:rPr>
      <w:color w:val="008000"/>
    </w:rPr>
  </w:style>
  <w:style w:type="character" w:customStyle="1" w:styleId="77">
    <w:name w:val="ExtensionTok"/>
    <w:basedOn w:val="51"/>
    <w:uiPriority w:val="0"/>
  </w:style>
  <w:style w:type="character" w:customStyle="1" w:styleId="78">
    <w:name w:val="PreprocessorTok"/>
    <w:basedOn w:val="51"/>
    <w:qFormat/>
    <w:uiPriority w:val="0"/>
    <w:rPr>
      <w:color w:val="BC7A00"/>
    </w:rPr>
  </w:style>
  <w:style w:type="character" w:customStyle="1" w:styleId="79">
    <w:name w:val="AttributeTok"/>
    <w:basedOn w:val="51"/>
    <w:uiPriority w:val="0"/>
    <w:rPr>
      <w:color w:val="7D9029"/>
    </w:rPr>
  </w:style>
  <w:style w:type="character" w:customStyle="1" w:styleId="80">
    <w:name w:val="RegionMarkerTok"/>
    <w:basedOn w:val="51"/>
    <w:uiPriority w:val="0"/>
  </w:style>
  <w:style w:type="character" w:customStyle="1" w:styleId="81">
    <w:name w:val="InformationTok"/>
    <w:basedOn w:val="51"/>
    <w:uiPriority w:val="0"/>
    <w:rPr>
      <w:b/>
      <w:i/>
      <w:color w:val="60A0B0"/>
    </w:rPr>
  </w:style>
  <w:style w:type="character" w:customStyle="1" w:styleId="82">
    <w:name w:val="WarningTok"/>
    <w:basedOn w:val="51"/>
    <w:uiPriority w:val="0"/>
    <w:rPr>
      <w:b/>
      <w:i/>
      <w:color w:val="60A0B0"/>
    </w:rPr>
  </w:style>
  <w:style w:type="character" w:customStyle="1" w:styleId="83">
    <w:name w:val="AlertTok"/>
    <w:basedOn w:val="51"/>
    <w:uiPriority w:val="0"/>
    <w:rPr>
      <w:b/>
      <w:color w:val="FF0000"/>
    </w:rPr>
  </w:style>
  <w:style w:type="character" w:customStyle="1" w:styleId="84">
    <w:name w:val="ErrorTok"/>
    <w:basedOn w:val="51"/>
    <w:uiPriority w:val="0"/>
    <w:rPr>
      <w:b/>
      <w:color w:val="FF0000"/>
    </w:rPr>
  </w:style>
  <w:style w:type="character" w:customStyle="1" w:styleId="85">
    <w:name w:val="NormalTok"/>
    <w:basedOn w:val="5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9" Type="http://schemas.openxmlformats.org/officeDocument/2006/relationships/fontTable" Target="fontTable.xml"/><Relationship Id="rId28" Type="http://schemas.openxmlformats.org/officeDocument/2006/relationships/numbering" Target="numbering.xml"/><Relationship Id="rId27" Type="http://schemas.openxmlformats.org/officeDocument/2006/relationships/image" Target="media/image23.GIF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83</Words>
  <Characters>475</Characters>
  <Lines>12</Lines>
  <Paragraphs>8</Paragraphs>
  <TotalTime>0</TotalTime>
  <ScaleCrop>false</ScaleCrop>
  <LinksUpToDate>false</LinksUpToDate>
  <CharactersWithSpaces>583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2026-07-08T05:21:00Z</dcterms:created>
  <dc:creator>AI自强大叔</dc:creator>
  <cp:lastModifiedBy>AI自强大叔</cp:lastModifiedBy>
  <dcterms:modified xsi:type="dcterms:W3CDTF">2026-07-08T05:21:15Z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目录</vt:lpwstr>
  </property>
  <property fmtid="{D5CDD505-2E9C-101B-9397-08002B2CF9AE}" pid="3" name="KSOProductBuildVer">
    <vt:lpwstr>2052-12.1.0.26895</vt:lpwstr>
  </property>
  <property fmtid="{D5CDD505-2E9C-101B-9397-08002B2CF9AE}" pid="4" name="ICV">
    <vt:lpwstr>0386F230FB394D69A50CCB538C14843D_12</vt:lpwstr>
  </property>
</Properties>
</file>