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47480799"/>
        <w:docPartObj>
          <w:docPartGallery w:val="Table of Contents"/>
          <w:docPartUnique/>
        </w:docPartObj>
      </w:sdtPr>
      <w:sdtContent>
        <w:p w14:paraId="000193FE">
          <w:pPr>
            <w:pStyle w:val="54"/>
          </w:pPr>
          <w:bookmarkStart w:id="23" w:name="_GoBack"/>
          <w:bookmarkEnd w:id="23"/>
          <w:r>
            <w:rPr>
              <w:rFonts w:hint="eastAsia"/>
            </w:rPr>
            <w:t>目录</w:t>
          </w:r>
        </w:p>
        <w:p w14:paraId="4F289B1F">
          <w:pPr>
            <w:pStyle w:val="17"/>
            <w:tabs>
              <w:tab w:val="right" w:leader="dot" w:pos="8640"/>
            </w:tabs>
          </w:pPr>
          <w:r>
            <w:fldChar w:fldCharType="begin"/>
          </w:r>
          <w:r>
            <w:instrText xml:space="preserve">TOC \o "1-3" \h \z \u</w:instrText>
          </w:r>
          <w:r>
            <w:fldChar w:fldCharType="separate"/>
          </w:r>
          <w:r>
            <w:fldChar w:fldCharType="begin"/>
          </w:r>
          <w:r>
            <w:instrText xml:space="preserve"> HYPERLINK \l _Toc26489 </w:instrText>
          </w:r>
          <w:r>
            <w:fldChar w:fldCharType="separate"/>
          </w:r>
          <w:r>
            <w:rPr>
              <w:rFonts w:hint="eastAsia"/>
            </w:rPr>
            <w:t>特法账单发送</w:t>
          </w:r>
          <w:r>
            <w:tab/>
          </w:r>
          <w:r>
            <w:fldChar w:fldCharType="begin"/>
          </w:r>
          <w:r>
            <w:instrText xml:space="preserve"> PAGEREF _Toc26489 \h </w:instrText>
          </w:r>
          <w:r>
            <w:fldChar w:fldCharType="separate"/>
          </w:r>
          <w:r>
            <w:t>1</w:t>
          </w:r>
          <w:r>
            <w:fldChar w:fldCharType="end"/>
          </w:r>
          <w:r>
            <w:fldChar w:fldCharType="end"/>
          </w:r>
        </w:p>
        <w:p w14:paraId="5FF8B0B8">
          <w:pPr>
            <w:pStyle w:val="20"/>
            <w:tabs>
              <w:tab w:val="right" w:leader="dot" w:pos="8640"/>
            </w:tabs>
          </w:pPr>
          <w:r>
            <w:fldChar w:fldCharType="begin"/>
          </w:r>
          <w:r>
            <w:instrText xml:space="preserve"> HYPERLINK \l _Toc29243 </w:instrText>
          </w:r>
          <w:r>
            <w:fldChar w:fldCharType="separate"/>
          </w:r>
          <w:r>
            <w:rPr>
              <w:rFonts w:hint="eastAsia"/>
            </w:rPr>
            <w:t>程序部署</w:t>
          </w:r>
          <w:r>
            <w:tab/>
          </w:r>
          <w:r>
            <w:fldChar w:fldCharType="begin"/>
          </w:r>
          <w:r>
            <w:instrText xml:space="preserve"> PAGEREF _Toc29243 \h </w:instrText>
          </w:r>
          <w:r>
            <w:fldChar w:fldCharType="separate"/>
          </w:r>
          <w:r>
            <w:t>1</w:t>
          </w:r>
          <w:r>
            <w:fldChar w:fldCharType="end"/>
          </w:r>
          <w:r>
            <w:fldChar w:fldCharType="end"/>
          </w:r>
        </w:p>
        <w:p w14:paraId="25536E7B">
          <w:pPr>
            <w:pStyle w:val="20"/>
            <w:tabs>
              <w:tab w:val="right" w:leader="dot" w:pos="8640"/>
            </w:tabs>
          </w:pPr>
          <w:r>
            <w:fldChar w:fldCharType="begin"/>
          </w:r>
          <w:r>
            <w:instrText xml:space="preserve"> HYPERLINK \l _Toc30105 </w:instrText>
          </w:r>
          <w:r>
            <w:fldChar w:fldCharType="separate"/>
          </w:r>
          <w:r>
            <w:rPr>
              <w:rFonts w:hint="eastAsia"/>
            </w:rPr>
            <w:t>功能说明</w:t>
          </w:r>
          <w:r>
            <w:tab/>
          </w:r>
          <w:r>
            <w:fldChar w:fldCharType="begin"/>
          </w:r>
          <w:r>
            <w:instrText xml:space="preserve"> PAGEREF _Toc30105 \h </w:instrText>
          </w:r>
          <w:r>
            <w:fldChar w:fldCharType="separate"/>
          </w:r>
          <w:r>
            <w:t>4</w:t>
          </w:r>
          <w:r>
            <w:fldChar w:fldCharType="end"/>
          </w:r>
          <w:r>
            <w:fldChar w:fldCharType="end"/>
          </w:r>
        </w:p>
        <w:p w14:paraId="5D138345">
          <w:pPr>
            <w:pStyle w:val="14"/>
            <w:tabs>
              <w:tab w:val="right" w:leader="dot" w:pos="8640"/>
            </w:tabs>
          </w:pPr>
          <w:r>
            <w:fldChar w:fldCharType="begin"/>
          </w:r>
          <w:r>
            <w:instrText xml:space="preserve"> HYPERLINK \l _Toc3584 </w:instrText>
          </w:r>
          <w:r>
            <w:fldChar w:fldCharType="separate"/>
          </w:r>
          <w:r>
            <w:rPr>
              <w:rFonts w:hint="eastAsia"/>
            </w:rPr>
            <w:t>机构设置</w:t>
          </w:r>
          <w:r>
            <w:tab/>
          </w:r>
          <w:r>
            <w:fldChar w:fldCharType="begin"/>
          </w:r>
          <w:r>
            <w:instrText xml:space="preserve"> PAGEREF _Toc3584 \h </w:instrText>
          </w:r>
          <w:r>
            <w:fldChar w:fldCharType="separate"/>
          </w:r>
          <w:r>
            <w:t>4</w:t>
          </w:r>
          <w:r>
            <w:fldChar w:fldCharType="end"/>
          </w:r>
          <w:r>
            <w:fldChar w:fldCharType="end"/>
          </w:r>
        </w:p>
        <w:p w14:paraId="4BD46CE0">
          <w:pPr>
            <w:pStyle w:val="14"/>
            <w:tabs>
              <w:tab w:val="right" w:leader="dot" w:pos="8640"/>
            </w:tabs>
          </w:pPr>
          <w:r>
            <w:fldChar w:fldCharType="begin"/>
          </w:r>
          <w:r>
            <w:instrText xml:space="preserve"> HYPERLINK \l _Toc29941 </w:instrText>
          </w:r>
          <w:r>
            <w:fldChar w:fldCharType="separate"/>
          </w:r>
          <w:r>
            <w:rPr>
              <w:rFonts w:hint="eastAsia"/>
            </w:rPr>
            <w:t>文件设置</w:t>
          </w:r>
          <w:r>
            <w:tab/>
          </w:r>
          <w:r>
            <w:fldChar w:fldCharType="begin"/>
          </w:r>
          <w:r>
            <w:instrText xml:space="preserve"> PAGEREF _Toc29941 \h </w:instrText>
          </w:r>
          <w:r>
            <w:fldChar w:fldCharType="separate"/>
          </w:r>
          <w:r>
            <w:t>15</w:t>
          </w:r>
          <w:r>
            <w:fldChar w:fldCharType="end"/>
          </w:r>
          <w:r>
            <w:fldChar w:fldCharType="end"/>
          </w:r>
        </w:p>
        <w:p w14:paraId="5548ECBE">
          <w:pPr>
            <w:pStyle w:val="14"/>
            <w:tabs>
              <w:tab w:val="right" w:leader="dot" w:pos="8640"/>
            </w:tabs>
          </w:pPr>
          <w:r>
            <w:fldChar w:fldCharType="begin"/>
          </w:r>
          <w:r>
            <w:instrText xml:space="preserve"> HYPERLINK \l _Toc10376 </w:instrText>
          </w:r>
          <w:r>
            <w:fldChar w:fldCharType="separate"/>
          </w:r>
          <w:r>
            <w:rPr>
              <w:rFonts w:hint="eastAsia"/>
            </w:rPr>
            <w:t>邮件&amp;深证通合并发送设置</w:t>
          </w:r>
          <w:r>
            <w:tab/>
          </w:r>
          <w:r>
            <w:fldChar w:fldCharType="begin"/>
          </w:r>
          <w:r>
            <w:instrText xml:space="preserve"> PAGEREF _Toc10376 \h </w:instrText>
          </w:r>
          <w:r>
            <w:fldChar w:fldCharType="separate"/>
          </w:r>
          <w:r>
            <w:t>17</w:t>
          </w:r>
          <w:r>
            <w:fldChar w:fldCharType="end"/>
          </w:r>
          <w:r>
            <w:fldChar w:fldCharType="end"/>
          </w:r>
        </w:p>
        <w:p w14:paraId="7E3E0967">
          <w:pPr>
            <w:pStyle w:val="14"/>
            <w:tabs>
              <w:tab w:val="right" w:leader="dot" w:pos="8640"/>
            </w:tabs>
          </w:pPr>
          <w:r>
            <w:fldChar w:fldCharType="begin"/>
          </w:r>
          <w:r>
            <w:instrText xml:space="preserve"> HYPERLINK \l _Toc10661 </w:instrText>
          </w:r>
          <w:r>
            <w:fldChar w:fldCharType="separate"/>
          </w:r>
          <w:r>
            <w:rPr>
              <w:rFonts w:hint="eastAsia"/>
            </w:rPr>
            <w:t>发送：邮件/深证通</w:t>
          </w:r>
          <w:r>
            <w:tab/>
          </w:r>
          <w:r>
            <w:fldChar w:fldCharType="begin"/>
          </w:r>
          <w:r>
            <w:instrText xml:space="preserve"> PAGEREF _Toc10661 \h </w:instrText>
          </w:r>
          <w:r>
            <w:fldChar w:fldCharType="separate"/>
          </w:r>
          <w:r>
            <w:t>18</w:t>
          </w:r>
          <w:r>
            <w:fldChar w:fldCharType="end"/>
          </w:r>
          <w:r>
            <w:fldChar w:fldCharType="end"/>
          </w:r>
        </w:p>
        <w:p w14:paraId="63A97461">
          <w:pPr>
            <w:pStyle w:val="14"/>
            <w:tabs>
              <w:tab w:val="right" w:leader="dot" w:pos="8640"/>
            </w:tabs>
          </w:pPr>
          <w:r>
            <w:fldChar w:fldCharType="begin"/>
          </w:r>
          <w:r>
            <w:instrText xml:space="preserve"> HYPERLINK \l _Toc4927 </w:instrText>
          </w:r>
          <w:r>
            <w:fldChar w:fldCharType="separate"/>
          </w:r>
          <w:r>
            <w:rPr>
              <w:rFonts w:hint="eastAsia"/>
            </w:rPr>
            <w:t>配置文件导入导出</w:t>
          </w:r>
          <w:r>
            <w:tab/>
          </w:r>
          <w:r>
            <w:fldChar w:fldCharType="begin"/>
          </w:r>
          <w:r>
            <w:instrText xml:space="preserve"> PAGEREF _Toc4927 \h </w:instrText>
          </w:r>
          <w:r>
            <w:fldChar w:fldCharType="separate"/>
          </w:r>
          <w:r>
            <w:t>19</w:t>
          </w:r>
          <w:r>
            <w:fldChar w:fldCharType="end"/>
          </w:r>
          <w:r>
            <w:fldChar w:fldCharType="end"/>
          </w:r>
        </w:p>
        <w:p w14:paraId="6A39B7BC">
          <w:r>
            <w:fldChar w:fldCharType="end"/>
          </w:r>
        </w:p>
      </w:sdtContent>
    </w:sdt>
    <w:p w14:paraId="0F5878C4">
      <w:pPr>
        <w:pStyle w:val="2"/>
      </w:pPr>
      <w:bookmarkStart w:id="0" w:name="_Toc26489"/>
      <w:bookmarkStart w:id="1" w:name="特法账单发送"/>
      <w:r>
        <w:rPr>
          <w:rFonts w:hint="eastAsia"/>
        </w:rPr>
        <w:t>特法账单发送</w:t>
      </w:r>
      <w:bookmarkEnd w:id="0"/>
    </w:p>
    <w:p w14:paraId="3D3B2078">
      <w:pPr>
        <w:pStyle w:val="4"/>
      </w:pPr>
      <w:bookmarkStart w:id="2" w:name="_Toc29243"/>
      <w:bookmarkStart w:id="3" w:name="程序部署"/>
      <w:r>
        <w:rPr>
          <w:rFonts w:hint="eastAsia"/>
        </w:rPr>
        <w:t>程序部署</w:t>
      </w:r>
      <w:bookmarkEnd w:id="2"/>
    </w:p>
    <w:p w14:paraId="6DB8A90A">
      <w:pPr>
        <w:pStyle w:val="27"/>
        <w:numPr>
          <w:ilvl w:val="0"/>
          <w:numId w:val="1"/>
        </w:numPr>
      </w:pPr>
      <w:r>
        <w:rPr>
          <w:rFonts w:hint="eastAsia"/>
        </w:rPr>
        <w:t>将”特法生成发送工具.zip”压缩包，解压到本地电脑任意目录，比如D盘根目录下，</w:t>
      </w:r>
    </w:p>
    <w:p w14:paraId="5F5B0CD2">
      <w:pPr>
        <w:pStyle w:val="26"/>
      </w:pPr>
      <w:r>
        <w:rPr>
          <w:rFonts w:hint="eastAsia"/>
        </w:rPr>
        <w:t>需要确保本地电脑能否访问德索crm数据库</w:t>
      </w:r>
    </w:p>
    <w:p w14:paraId="6D395F0C">
      <w:pPr>
        <w:pStyle w:val="3"/>
      </w:pPr>
      <w:r>
        <w:drawing>
          <wp:inline distT="0" distB="0" distL="114300" distR="114300">
            <wp:extent cx="2447925" cy="561975"/>
            <wp:effectExtent l="0" t="0" r="0" b="0"/>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5"/>
                    <a:stretch>
                      <a:fillRect/>
                    </a:stretch>
                  </pic:blipFill>
                  <pic:spPr>
                    <a:xfrm>
                      <a:off x="0" y="0"/>
                      <a:ext cx="2447999" cy="561992"/>
                    </a:xfrm>
                    <a:prstGeom prst="rect">
                      <a:avLst/>
                    </a:prstGeom>
                    <a:noFill/>
                    <a:ln w="9525">
                      <a:noFill/>
                    </a:ln>
                  </pic:spPr>
                </pic:pic>
              </a:graphicData>
            </a:graphic>
          </wp:inline>
        </w:drawing>
      </w:r>
    </w:p>
    <w:p w14:paraId="6A820949">
      <w:pPr>
        <w:pStyle w:val="3"/>
      </w:pPr>
      <w:r>
        <w:rPr>
          <w:rFonts w:hint="eastAsia"/>
        </w:rPr>
        <w:t>解压后的文件目录结构如下</w:t>
      </w:r>
    </w:p>
    <w:p w14:paraId="47DBC9F7">
      <w:pPr>
        <w:pStyle w:val="3"/>
      </w:pPr>
      <w:r>
        <w:drawing>
          <wp:inline distT="0" distB="0" distL="114300" distR="114300">
            <wp:extent cx="2303780" cy="3188970"/>
            <wp:effectExtent l="0" t="0" r="0" b="0"/>
            <wp:docPr id="2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pic:cNvPicPr>
                      <a:picLocks noChangeAspect="1" noChangeArrowheads="1"/>
                    </pic:cNvPicPr>
                  </pic:nvPicPr>
                  <pic:blipFill>
                    <a:blip r:embed="rId6"/>
                    <a:stretch>
                      <a:fillRect/>
                    </a:stretch>
                  </pic:blipFill>
                  <pic:spPr>
                    <a:xfrm>
                      <a:off x="0" y="0"/>
                      <a:ext cx="2303999" cy="3189421"/>
                    </a:xfrm>
                    <a:prstGeom prst="rect">
                      <a:avLst/>
                    </a:prstGeom>
                    <a:noFill/>
                    <a:ln w="9525">
                      <a:noFill/>
                    </a:ln>
                  </pic:spPr>
                </pic:pic>
              </a:graphicData>
            </a:graphic>
          </wp:inline>
        </w:drawing>
      </w:r>
    </w:p>
    <w:p w14:paraId="63D2D74F">
      <w:pPr>
        <w:pStyle w:val="3"/>
      </w:pPr>
      <w:r>
        <w:rPr>
          <w:rFonts w:hint="eastAsia"/>
        </w:rPr>
        <w:t>其中：</w:t>
      </w:r>
    </w:p>
    <w:p w14:paraId="50B7C280">
      <w:pPr>
        <w:numPr>
          <w:ilvl w:val="0"/>
          <w:numId w:val="2"/>
        </w:numPr>
      </w:pPr>
      <w:r>
        <w:t xml:space="preserve">Config </w:t>
      </w:r>
      <w:r>
        <w:rPr>
          <w:rFonts w:hint="eastAsia"/>
        </w:rPr>
        <w:t>目录是用来存放结算单/中金所格式的模板文件</w:t>
      </w:r>
    </w:p>
    <w:p w14:paraId="7761FFDA">
      <w:pPr>
        <w:numPr>
          <w:ilvl w:val="0"/>
          <w:numId w:val="2"/>
        </w:numPr>
      </w:pPr>
      <w:r>
        <w:t xml:space="preserve">Source </w:t>
      </w:r>
      <w:r>
        <w:rPr>
          <w:rFonts w:hint="eastAsia"/>
        </w:rPr>
        <w:t>目录是存放具体某一天</w:t>
      </w:r>
      <w:r>
        <w:t xml:space="preserve"> </w:t>
      </w:r>
      <w:r>
        <w:rPr>
          <w:rFonts w:hint="eastAsia"/>
        </w:rPr>
        <w:t>报送监控中心的文件，通常是28个TXT文件</w:t>
      </w:r>
    </w:p>
    <w:p w14:paraId="6733493E">
      <w:pPr>
        <w:numPr>
          <w:ilvl w:val="0"/>
          <w:numId w:val="2"/>
        </w:numPr>
      </w:pPr>
      <w:r>
        <w:rPr>
          <w:rFonts w:hint="eastAsia"/>
        </w:rPr>
        <w:t>Output目录是存放程序生成的数据包</w:t>
      </w:r>
    </w:p>
    <w:p w14:paraId="559497AC">
      <w:pPr>
        <w:numPr>
          <w:ilvl w:val="0"/>
          <w:numId w:val="2"/>
        </w:numPr>
      </w:pPr>
      <w:r>
        <w:t xml:space="preserve">Log </w:t>
      </w:r>
      <w:r>
        <w:rPr>
          <w:rFonts w:hint="eastAsia"/>
        </w:rPr>
        <w:t>目录是存放程序运行的日志</w:t>
      </w:r>
    </w:p>
    <w:p w14:paraId="7C28F377">
      <w:pPr>
        <w:pStyle w:val="27"/>
        <w:numPr>
          <w:ilvl w:val="0"/>
          <w:numId w:val="3"/>
        </w:numPr>
      </w:pPr>
      <w:r>
        <w:rPr>
          <w:rFonts w:hint="eastAsia"/>
        </w:rPr>
        <w:t>将报送监控中心的28个文件，放到”source”目录下，注意需要包含日期文件夹</w:t>
      </w:r>
    </w:p>
    <w:p w14:paraId="0330F24E">
      <w:pPr>
        <w:pStyle w:val="26"/>
      </w:pPr>
      <w:r>
        <w:drawing>
          <wp:inline distT="0" distB="0" distL="114300" distR="114300">
            <wp:extent cx="5334000" cy="4578350"/>
            <wp:effectExtent l="0" t="0" r="0" b="0"/>
            <wp:docPr id="2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pic:cNvPicPr>
                      <a:picLocks noChangeAspect="1" noChangeArrowheads="1"/>
                    </pic:cNvPicPr>
                  </pic:nvPicPr>
                  <pic:blipFill>
                    <a:blip r:embed="rId7"/>
                    <a:stretch>
                      <a:fillRect/>
                    </a:stretch>
                  </pic:blipFill>
                  <pic:spPr>
                    <a:xfrm>
                      <a:off x="0" y="0"/>
                      <a:ext cx="5334000" cy="4578743"/>
                    </a:xfrm>
                    <a:prstGeom prst="rect">
                      <a:avLst/>
                    </a:prstGeom>
                    <a:noFill/>
                    <a:ln w="9525">
                      <a:noFill/>
                    </a:ln>
                  </pic:spPr>
                </pic:pic>
              </a:graphicData>
            </a:graphic>
          </wp:inline>
        </w:drawing>
      </w:r>
    </w:p>
    <w:p w14:paraId="68AC700C">
      <w:pPr>
        <w:pStyle w:val="3"/>
      </w:pPr>
      <w:r>
        <w:rPr>
          <w:rFonts w:hint="eastAsia"/>
        </w:rPr>
        <w:t>3．</w:t>
      </w:r>
      <w:r>
        <w:rPr>
          <w:rFonts w:hint="eastAsia"/>
          <w:b/>
          <w:bCs/>
        </w:rPr>
        <w:t>双击Start.bat,</w:t>
      </w:r>
      <w:r>
        <w:t xml:space="preserve"> </w:t>
      </w:r>
      <w:r>
        <w:rPr>
          <w:rFonts w:hint="eastAsia"/>
        </w:rPr>
        <w:t>运行特法程序，打开后程序界面如下</w:t>
      </w:r>
    </w:p>
    <w:p w14:paraId="4EFD099C">
      <w:pPr>
        <w:pStyle w:val="3"/>
      </w:pPr>
      <w:r>
        <w:drawing>
          <wp:inline distT="0" distB="0" distL="114300" distR="114300">
            <wp:extent cx="5334000" cy="3241040"/>
            <wp:effectExtent l="0" t="0" r="0" b="0"/>
            <wp:docPr id="3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a:picLocks noChangeAspect="1" noChangeArrowheads="1"/>
                    </pic:cNvPicPr>
                  </pic:nvPicPr>
                  <pic:blipFill>
                    <a:blip r:embed="rId8"/>
                    <a:stretch>
                      <a:fillRect/>
                    </a:stretch>
                  </pic:blipFill>
                  <pic:spPr>
                    <a:xfrm>
                      <a:off x="0" y="0"/>
                      <a:ext cx="5334000" cy="3241633"/>
                    </a:xfrm>
                    <a:prstGeom prst="rect">
                      <a:avLst/>
                    </a:prstGeom>
                    <a:noFill/>
                    <a:ln w="9525">
                      <a:noFill/>
                    </a:ln>
                  </pic:spPr>
                </pic:pic>
              </a:graphicData>
            </a:graphic>
          </wp:inline>
        </w:drawing>
      </w:r>
    </w:p>
    <w:p w14:paraId="435B5DA4">
      <w:pPr>
        <w:pStyle w:val="3"/>
      </w:pPr>
      <w:r>
        <w:rPr>
          <w:rFonts w:hint="eastAsia"/>
        </w:rPr>
        <w:t>界面默认展示已经存在配置的</w:t>
      </w:r>
      <w:r>
        <w:t xml:space="preserve"> </w:t>
      </w:r>
      <w:r>
        <w:rPr>
          <w:rFonts w:hint="eastAsia"/>
        </w:rPr>
        <w:t>机构/特法户</w:t>
      </w:r>
      <w:r>
        <w:t xml:space="preserve"> </w:t>
      </w:r>
      <w:r>
        <w:rPr>
          <w:rFonts w:hint="eastAsia"/>
        </w:rPr>
        <w:t>信息；</w:t>
      </w:r>
    </w:p>
    <w:p w14:paraId="2F94565B">
      <w:pPr>
        <w:pStyle w:val="3"/>
      </w:pPr>
      <w:r>
        <w:rPr>
          <w:rFonts w:hint="eastAsia"/>
        </w:rPr>
        <w:t>程序默认勾选”监控中心账单”和”中金所账单”；</w:t>
      </w:r>
    </w:p>
    <w:p w14:paraId="668D15B9">
      <w:pPr>
        <w:pStyle w:val="3"/>
      </w:pPr>
      <w:r>
        <w:rPr>
          <w:rFonts w:hint="eastAsia"/>
        </w:rPr>
        <w:t>人工勾选确认待发送账单的客户范围，点击【开始】按钮，程序自动读取配置信息，生成账单数据，并按要求进行发送。</w:t>
      </w:r>
    </w:p>
    <w:bookmarkEnd w:id="3"/>
    <w:p w14:paraId="558DBFE0">
      <w:pPr>
        <w:pStyle w:val="4"/>
      </w:pPr>
      <w:bookmarkStart w:id="4" w:name="_Toc30105"/>
      <w:bookmarkStart w:id="5" w:name="功能说明"/>
      <w:r>
        <w:rPr>
          <w:rFonts w:hint="eastAsia"/>
        </w:rPr>
        <w:t>功能说明</w:t>
      </w:r>
      <w:bookmarkEnd w:id="4"/>
    </w:p>
    <w:p w14:paraId="501FE55B">
      <w:pPr>
        <w:pStyle w:val="26"/>
      </w:pPr>
      <w:r>
        <w:rPr>
          <w:rFonts w:hint="eastAsia"/>
        </w:rPr>
        <w:t>特法工具，原本是为了解决特殊法人类客户对日账单需求迫切的时效性问题；目前已支持给所有有账单需求的客户生成并发送账单，包括一般法人、甚至自然人客户。</w:t>
      </w:r>
    </w:p>
    <w:p w14:paraId="0F37740B">
      <w:pPr>
        <w:pStyle w:val="5"/>
      </w:pPr>
      <w:bookmarkStart w:id="6" w:name="_Toc3584"/>
      <w:bookmarkStart w:id="7" w:name="机构设置"/>
      <w:r>
        <w:rPr>
          <w:rFonts w:hint="eastAsia"/>
        </w:rPr>
        <w:t>机构设置</w:t>
      </w:r>
      <w:bookmarkEnd w:id="6"/>
    </w:p>
    <w:p w14:paraId="713086AC">
      <w:pPr>
        <w:pStyle w:val="26"/>
      </w:pPr>
      <w:r>
        <w:rPr>
          <w:rFonts w:hint="eastAsia"/>
        </w:rPr>
        <w:t>点击”设置”-&gt;“机构设置”，进行【新增/删除/修改】</w:t>
      </w:r>
      <w:r>
        <w:t xml:space="preserve"> </w:t>
      </w:r>
      <w:r>
        <w:rPr>
          <w:rFonts w:hint="eastAsia"/>
        </w:rPr>
        <w:t>特法机构的操作</w:t>
      </w:r>
    </w:p>
    <w:p w14:paraId="60B870DF">
      <w:pPr>
        <w:pStyle w:val="3"/>
      </w:pPr>
      <w:r>
        <w:drawing>
          <wp:inline distT="0" distB="0" distL="114300" distR="114300">
            <wp:extent cx="5334000" cy="2051050"/>
            <wp:effectExtent l="0" t="0" r="0" b="0"/>
            <wp:docPr id="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a:picLocks noChangeAspect="1" noChangeArrowheads="1"/>
                    </pic:cNvPicPr>
                  </pic:nvPicPr>
                  <pic:blipFill>
                    <a:blip r:embed="rId9"/>
                    <a:stretch>
                      <a:fillRect/>
                    </a:stretch>
                  </pic:blipFill>
                  <pic:spPr>
                    <a:xfrm>
                      <a:off x="0" y="0"/>
                      <a:ext cx="5334000" cy="2051091"/>
                    </a:xfrm>
                    <a:prstGeom prst="rect">
                      <a:avLst/>
                    </a:prstGeom>
                    <a:noFill/>
                    <a:ln w="9525">
                      <a:noFill/>
                    </a:ln>
                  </pic:spPr>
                </pic:pic>
              </a:graphicData>
            </a:graphic>
          </wp:inline>
        </w:drawing>
      </w:r>
    </w:p>
    <w:p w14:paraId="26E53254">
      <w:pPr>
        <w:pStyle w:val="3"/>
      </w:pPr>
      <w:r>
        <w:rPr>
          <w:rFonts w:hint="eastAsia"/>
        </w:rPr>
        <w:t>可以通过”机构信息”或者”资金账号”检索栏，快速定位至单个特法机构的配置项</w:t>
      </w:r>
    </w:p>
    <w:p w14:paraId="4A7A5B16">
      <w:pPr>
        <w:pStyle w:val="3"/>
      </w:pPr>
      <w:r>
        <w:drawing>
          <wp:inline distT="0" distB="0" distL="114300" distR="114300">
            <wp:extent cx="5334000" cy="1951355"/>
            <wp:effectExtent l="0" t="0" r="0" b="0"/>
            <wp:docPr id="3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a:picLocks noChangeAspect="1" noChangeArrowheads="1"/>
                    </pic:cNvPicPr>
                  </pic:nvPicPr>
                  <pic:blipFill>
                    <a:blip r:embed="rId10"/>
                    <a:stretch>
                      <a:fillRect/>
                    </a:stretch>
                  </pic:blipFill>
                  <pic:spPr>
                    <a:xfrm>
                      <a:off x="0" y="0"/>
                      <a:ext cx="5334000" cy="1951665"/>
                    </a:xfrm>
                    <a:prstGeom prst="rect">
                      <a:avLst/>
                    </a:prstGeom>
                    <a:noFill/>
                    <a:ln w="9525">
                      <a:noFill/>
                    </a:ln>
                  </pic:spPr>
                </pic:pic>
              </a:graphicData>
            </a:graphic>
          </wp:inline>
        </w:drawing>
      </w:r>
    </w:p>
    <w:p w14:paraId="1A87BCA3">
      <w:pPr>
        <w:pStyle w:val="3"/>
      </w:pPr>
      <w:r>
        <w:drawing>
          <wp:inline distT="0" distB="0" distL="114300" distR="114300">
            <wp:extent cx="5334000" cy="1902460"/>
            <wp:effectExtent l="0" t="0" r="0" b="0"/>
            <wp:docPr id="4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a:picLocks noChangeAspect="1" noChangeArrowheads="1"/>
                    </pic:cNvPicPr>
                  </pic:nvPicPr>
                  <pic:blipFill>
                    <a:blip r:embed="rId11"/>
                    <a:stretch>
                      <a:fillRect/>
                    </a:stretch>
                  </pic:blipFill>
                  <pic:spPr>
                    <a:xfrm>
                      <a:off x="0" y="0"/>
                      <a:ext cx="5334000" cy="1902517"/>
                    </a:xfrm>
                    <a:prstGeom prst="rect">
                      <a:avLst/>
                    </a:prstGeom>
                    <a:noFill/>
                    <a:ln w="9525">
                      <a:noFill/>
                    </a:ln>
                  </pic:spPr>
                </pic:pic>
              </a:graphicData>
            </a:graphic>
          </wp:inline>
        </w:drawing>
      </w:r>
    </w:p>
    <w:p w14:paraId="5FBDF7CF">
      <w:pPr>
        <w:pStyle w:val="27"/>
        <w:numPr>
          <w:ilvl w:val="0"/>
          <w:numId w:val="4"/>
        </w:numPr>
      </w:pPr>
      <w:r>
        <w:rPr>
          <w:rFonts w:hint="eastAsia"/>
        </w:rPr>
        <w:t>点击”新增”或者”编辑”后，弹出详细配置界面</w:t>
      </w:r>
    </w:p>
    <w:p w14:paraId="373A5A08">
      <w:pPr>
        <w:pStyle w:val="6"/>
      </w:pPr>
      <w:bookmarkStart w:id="8" w:name="机构信息"/>
      <w:r>
        <w:rPr>
          <w:rFonts w:hint="eastAsia"/>
        </w:rPr>
        <w:t>【机构信息】</w:t>
      </w:r>
    </w:p>
    <w:p w14:paraId="5E14DEE1">
      <w:pPr>
        <w:pStyle w:val="26"/>
      </w:pPr>
      <w:r>
        <w:rPr>
          <w:rFonts w:hint="eastAsia"/>
        </w:rPr>
        <w:t>此界面用于进行单个特法客户账单发送的全局性配置。</w:t>
      </w:r>
    </w:p>
    <w:p w14:paraId="18B1C250">
      <w:pPr>
        <w:pStyle w:val="3"/>
      </w:pPr>
      <w:r>
        <w:drawing>
          <wp:inline distT="0" distB="0" distL="114300" distR="114300">
            <wp:extent cx="5334000" cy="3122295"/>
            <wp:effectExtent l="0" t="0" r="0" b="0"/>
            <wp:docPr id="4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a:picLocks noChangeAspect="1" noChangeArrowheads="1"/>
                    </pic:cNvPicPr>
                  </pic:nvPicPr>
                  <pic:blipFill>
                    <a:blip r:embed="rId12"/>
                    <a:stretch>
                      <a:fillRect/>
                    </a:stretch>
                  </pic:blipFill>
                  <pic:spPr>
                    <a:xfrm>
                      <a:off x="0" y="0"/>
                      <a:ext cx="5334000" cy="3122341"/>
                    </a:xfrm>
                    <a:prstGeom prst="rect">
                      <a:avLst/>
                    </a:prstGeom>
                    <a:noFill/>
                    <a:ln w="9525">
                      <a:noFill/>
                    </a:ln>
                  </pic:spPr>
                </pic:pic>
              </a:graphicData>
            </a:graphic>
          </wp:inline>
        </w:drawing>
      </w:r>
    </w:p>
    <w:p w14:paraId="5CEDA4B4">
      <w:pPr>
        <w:numPr>
          <w:ilvl w:val="0"/>
          <w:numId w:val="2"/>
        </w:numPr>
      </w:pPr>
      <w:r>
        <w:rPr>
          <w:rFonts w:hint="eastAsia"/>
          <w:b/>
          <w:bCs/>
        </w:rPr>
        <w:t>“机构编号”：</w:t>
      </w:r>
      <w:r>
        <w:t xml:space="preserve"> </w:t>
      </w:r>
      <w:r>
        <w:rPr>
          <w:rFonts w:hint="eastAsia"/>
        </w:rPr>
        <w:t>即特法客户的资金账号，必填项；</w:t>
      </w:r>
    </w:p>
    <w:p w14:paraId="775102EB">
      <w:pPr>
        <w:numPr>
          <w:ilvl w:val="0"/>
          <w:numId w:val="2"/>
        </w:numPr>
      </w:pPr>
      <w:r>
        <w:rPr>
          <w:rFonts w:hint="eastAsia"/>
          <w:b/>
          <w:bCs/>
        </w:rPr>
        <w:t>“机构名称”：</w:t>
      </w:r>
      <w:r>
        <w:t xml:space="preserve"> </w:t>
      </w:r>
      <w:r>
        <w:rPr>
          <w:rFonts w:hint="eastAsia"/>
        </w:rPr>
        <w:t>即特法客户的名称/简称，可选填；</w:t>
      </w:r>
    </w:p>
    <w:p w14:paraId="29A04CA6">
      <w:pPr>
        <w:numPr>
          <w:ilvl w:val="0"/>
          <w:numId w:val="2"/>
        </w:numPr>
      </w:pPr>
      <w:r>
        <w:rPr>
          <w:rFonts w:hint="eastAsia"/>
          <w:b/>
          <w:bCs/>
        </w:rPr>
        <w:t>“是否需要压缩”：</w:t>
      </w:r>
      <w:r>
        <w:t xml:space="preserve"> </w:t>
      </w:r>
      <w:r>
        <w:rPr>
          <w:rFonts w:hint="eastAsia"/>
        </w:rPr>
        <w:t>需要压缩就打勾；</w:t>
      </w:r>
    </w:p>
    <w:p w14:paraId="3FEC6F3A">
      <w:pPr>
        <w:numPr>
          <w:ilvl w:val="0"/>
          <w:numId w:val="2"/>
        </w:numPr>
      </w:pPr>
      <w:r>
        <w:rPr>
          <w:rFonts w:hint="eastAsia"/>
          <w:b/>
          <w:bCs/>
        </w:rPr>
        <w:t>“压缩包名称”：</w:t>
      </w:r>
      <w:r>
        <w:t xml:space="preserve"> </w:t>
      </w:r>
      <w:r>
        <w:rPr>
          <w:rFonts w:hint="eastAsia"/>
        </w:rPr>
        <w:t>即最终发送给特法客户的压缩包命名（不含格式后缀），必填项，可用参数代入；</w:t>
      </w:r>
    </w:p>
    <w:p w14:paraId="2172F071">
      <w:pPr>
        <w:numPr>
          <w:ilvl w:val="0"/>
          <w:numId w:val="2"/>
        </w:numPr>
      </w:pPr>
      <w:r>
        <w:rPr>
          <w:rFonts w:hint="eastAsia"/>
          <w:b/>
          <w:bCs/>
        </w:rPr>
        <w:t>“压缩类型”：</w:t>
      </w:r>
      <w:r>
        <w:t xml:space="preserve"> </w:t>
      </w:r>
      <w:r>
        <w:rPr>
          <w:rFonts w:hint="eastAsia"/>
        </w:rPr>
        <w:t>支持”RAR”和”ZIP”两种格式，通过下拉框选择；</w:t>
      </w:r>
    </w:p>
    <w:p w14:paraId="291EB614">
      <w:pPr>
        <w:numPr>
          <w:ilvl w:val="0"/>
          <w:numId w:val="2"/>
        </w:numPr>
      </w:pPr>
      <w:r>
        <w:rPr>
          <w:rFonts w:hint="eastAsia"/>
          <w:b/>
          <w:bCs/>
        </w:rPr>
        <w:t>“文件夹名称”：</w:t>
      </w:r>
      <w:r>
        <w:t xml:space="preserve"> </w:t>
      </w:r>
      <w:r>
        <w:rPr>
          <w:rFonts w:hint="eastAsia"/>
        </w:rPr>
        <w:t>默认跟”压缩包名称”一致；如果选择的是不压缩，则此处为必填项；</w:t>
      </w:r>
    </w:p>
    <w:p w14:paraId="1E1833C5">
      <w:pPr>
        <w:numPr>
          <w:ilvl w:val="0"/>
          <w:numId w:val="2"/>
        </w:numPr>
      </w:pPr>
      <w:r>
        <w:rPr>
          <w:rFonts w:hint="eastAsia"/>
          <w:b/>
          <w:bCs/>
        </w:rPr>
        <w:t>“压缩包中是否需要包含文件夹”：</w:t>
      </w:r>
      <w:r>
        <w:t xml:space="preserve"> </w:t>
      </w:r>
      <w:r>
        <w:rPr>
          <w:rFonts w:hint="eastAsia"/>
        </w:rPr>
        <w:t>查看压缩包内容时，是否里面默认有嵌套一层文件夹；</w:t>
      </w:r>
    </w:p>
    <w:p w14:paraId="5D674057">
      <w:pPr>
        <w:numPr>
          <w:ilvl w:val="1"/>
          <w:numId w:val="2"/>
        </w:numPr>
      </w:pPr>
      <w:r>
        <w:rPr>
          <w:rFonts w:hint="eastAsia"/>
          <w:b/>
          <w:bCs/>
        </w:rPr>
        <w:t>勾选</w:t>
      </w:r>
      <w:r>
        <w:t xml:space="preserve"> </w:t>
      </w:r>
      <w:r>
        <w:rPr>
          <w:rFonts w:hint="eastAsia"/>
        </w:rPr>
        <w:t>，则压缩包解压到当前文件夹时，看到的首先是一个文件夹，里面才是具体的数据文件；</w:t>
      </w:r>
    </w:p>
    <w:p w14:paraId="2FEAECB1">
      <w:pPr>
        <w:numPr>
          <w:ilvl w:val="1"/>
          <w:numId w:val="2"/>
        </w:numPr>
      </w:pPr>
      <w:r>
        <w:rPr>
          <w:rFonts w:hint="eastAsia"/>
          <w:b/>
          <w:bCs/>
        </w:rPr>
        <w:t>不勾选</w:t>
      </w:r>
      <w:r>
        <w:t xml:space="preserve"> </w:t>
      </w:r>
      <w:r>
        <w:rPr>
          <w:rFonts w:hint="eastAsia"/>
        </w:rPr>
        <w:t>，则压缩包解压到当前文件夹时，直接就是具体的数据文件；</w:t>
      </w:r>
    </w:p>
    <w:p w14:paraId="3ED1BFA7">
      <w:pPr>
        <w:numPr>
          <w:ilvl w:val="0"/>
          <w:numId w:val="2"/>
        </w:numPr>
      </w:pPr>
      <w:r>
        <w:rPr>
          <w:rFonts w:hint="eastAsia"/>
          <w:b/>
          <w:bCs/>
        </w:rPr>
        <w:t>“压缩包是否要放在文件夹中”：</w:t>
      </w:r>
      <w:r>
        <w:t xml:space="preserve"> </w:t>
      </w:r>
      <w:r>
        <w:rPr>
          <w:rFonts w:hint="eastAsia"/>
        </w:rPr>
        <w:t>勾选中，产生的效果是</w:t>
      </w:r>
      <w:r>
        <w:t xml:space="preserve"> </w:t>
      </w:r>
      <w:r>
        <w:rPr>
          <w:rFonts w:hint="eastAsia"/>
        </w:rPr>
        <w:t>该特法客户发送账单时发送的是一个文件夹，文件夹的里面是一层压缩包，压缩包的里面是数据文件；</w:t>
      </w:r>
    </w:p>
    <w:p w14:paraId="2B9B691C">
      <w:pPr>
        <w:numPr>
          <w:ilvl w:val="0"/>
          <w:numId w:val="2"/>
        </w:numPr>
      </w:pPr>
      <w:r>
        <w:rPr>
          <w:rFonts w:hint="eastAsia"/>
          <w:b/>
          <w:bCs/>
        </w:rPr>
        <w:t>可用参数：</w:t>
      </w:r>
    </w:p>
    <w:p w14:paraId="6556FBF0">
      <w:pPr>
        <w:numPr>
          <w:ilvl w:val="1"/>
          <w:numId w:val="2"/>
        </w:numPr>
      </w:pPr>
      <w:r>
        <w:rPr>
          <w:b/>
          <w:bCs/>
        </w:rPr>
        <w:t xml:space="preserve">${TradeDay} </w:t>
      </w:r>
      <w:r>
        <w:rPr>
          <w:rFonts w:hint="eastAsia"/>
          <w:b/>
          <w:bCs/>
        </w:rPr>
        <w:t>特法数据日期</w:t>
      </w:r>
    </w:p>
    <w:p w14:paraId="6D2D5104">
      <w:pPr>
        <w:numPr>
          <w:ilvl w:val="1"/>
          <w:numId w:val="2"/>
        </w:numPr>
      </w:pPr>
      <w:r>
        <w:rPr>
          <w:b/>
          <w:bCs/>
        </w:rPr>
        <w:t xml:space="preserve">${FundId} </w:t>
      </w:r>
      <w:r>
        <w:rPr>
          <w:rFonts w:hint="eastAsia"/>
          <w:b/>
          <w:bCs/>
        </w:rPr>
        <w:t>特法机构编号，即特法客户的资金账号</w:t>
      </w:r>
    </w:p>
    <w:bookmarkEnd w:id="8"/>
    <w:p w14:paraId="002CC95E">
      <w:pPr>
        <w:pStyle w:val="6"/>
      </w:pPr>
      <w:bookmarkStart w:id="9" w:name="监控中心格式文件"/>
      <w:r>
        <w:rPr>
          <w:rFonts w:hint="eastAsia"/>
        </w:rPr>
        <w:t>【监控中心格式文件】</w:t>
      </w:r>
    </w:p>
    <w:p w14:paraId="7F465B2B">
      <w:pPr>
        <w:pStyle w:val="26"/>
      </w:pPr>
      <w:r>
        <w:rPr>
          <w:rFonts w:hint="eastAsia"/>
          <w:b/>
          <w:bCs/>
        </w:rPr>
        <w:t>5.监控中心格式文件的配置界面</w:t>
      </w:r>
    </w:p>
    <w:p w14:paraId="0463D9A0">
      <w:pPr>
        <w:pStyle w:val="3"/>
      </w:pPr>
      <w:r>
        <w:drawing>
          <wp:inline distT="0" distB="0" distL="114300" distR="114300">
            <wp:extent cx="5334000" cy="4211320"/>
            <wp:effectExtent l="0" t="0" r="0" b="0"/>
            <wp:docPr id="4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a:picLocks noChangeAspect="1" noChangeArrowheads="1"/>
                    </pic:cNvPicPr>
                  </pic:nvPicPr>
                  <pic:blipFill>
                    <a:blip r:embed="rId13"/>
                    <a:stretch>
                      <a:fillRect/>
                    </a:stretch>
                  </pic:blipFill>
                  <pic:spPr>
                    <a:xfrm>
                      <a:off x="0" y="0"/>
                      <a:ext cx="5334000" cy="4211510"/>
                    </a:xfrm>
                    <a:prstGeom prst="rect">
                      <a:avLst/>
                    </a:prstGeom>
                    <a:noFill/>
                    <a:ln w="9525">
                      <a:noFill/>
                    </a:ln>
                  </pic:spPr>
                </pic:pic>
              </a:graphicData>
            </a:graphic>
          </wp:inline>
        </w:drawing>
      </w:r>
    </w:p>
    <w:p w14:paraId="542F3C76">
      <w:pPr>
        <w:numPr>
          <w:ilvl w:val="0"/>
          <w:numId w:val="2"/>
        </w:numPr>
      </w:pPr>
      <w:r>
        <w:rPr>
          <w:rFonts w:hint="eastAsia"/>
          <w:b/>
          <w:bCs/>
        </w:rPr>
        <w:t>“需要监控中心格式文件”：</w:t>
      </w:r>
      <w:r>
        <w:t xml:space="preserve"> </w:t>
      </w:r>
      <w:r>
        <w:rPr>
          <w:rFonts w:hint="eastAsia"/>
        </w:rPr>
        <w:t>开关设置；</w:t>
      </w:r>
    </w:p>
    <w:p w14:paraId="37362374">
      <w:pPr>
        <w:numPr>
          <w:ilvl w:val="1"/>
          <w:numId w:val="2"/>
        </w:numPr>
      </w:pPr>
      <w:r>
        <w:rPr>
          <w:rFonts w:hint="eastAsia"/>
        </w:rPr>
        <w:t>当前特法客户需要监控中心格式文件，则勾选；</w:t>
      </w:r>
    </w:p>
    <w:p w14:paraId="5CC666D8">
      <w:pPr>
        <w:numPr>
          <w:ilvl w:val="1"/>
          <w:numId w:val="2"/>
        </w:numPr>
      </w:pPr>
      <w:r>
        <w:rPr>
          <w:rFonts w:hint="eastAsia"/>
        </w:rPr>
        <w:t>不勾选，下面的内容即使设置也是无效的；</w:t>
      </w:r>
    </w:p>
    <w:p w14:paraId="69C0FF28">
      <w:pPr>
        <w:numPr>
          <w:ilvl w:val="0"/>
          <w:numId w:val="2"/>
        </w:numPr>
      </w:pPr>
      <w:r>
        <w:rPr>
          <w:rFonts w:hint="eastAsia"/>
          <w:b/>
          <w:bCs/>
        </w:rPr>
        <w:t>“子目录名称”：</w:t>
      </w:r>
      <w:r>
        <w:t xml:space="preserve"> </w:t>
      </w:r>
      <w:r>
        <w:rPr>
          <w:rFonts w:hint="eastAsia"/>
        </w:rPr>
        <w:t>如果数据压缩包下要求包含子目录，在此处填子目录的名称，否则不用填；</w:t>
      </w:r>
    </w:p>
    <w:p w14:paraId="5ABDE33F">
      <w:pPr>
        <w:numPr>
          <w:ilvl w:val="0"/>
          <w:numId w:val="2"/>
        </w:numPr>
      </w:pPr>
      <w:r>
        <w:rPr>
          <w:rFonts w:hint="eastAsia"/>
          <w:b/>
          <w:bCs/>
        </w:rPr>
        <w:t>“导出类型”：</w:t>
      </w:r>
      <w:r>
        <w:t xml:space="preserve"> </w:t>
      </w:r>
      <w:r>
        <w:rPr>
          <w:rFonts w:hint="eastAsia"/>
        </w:rPr>
        <w:t>暂时不用管，预留字段；</w:t>
      </w:r>
    </w:p>
    <w:p w14:paraId="718C2465">
      <w:pPr>
        <w:numPr>
          <w:ilvl w:val="0"/>
          <w:numId w:val="2"/>
        </w:numPr>
      </w:pPr>
      <w:r>
        <w:rPr>
          <w:rFonts w:hint="eastAsia"/>
          <w:b/>
          <w:bCs/>
        </w:rPr>
        <w:t>“文件名称”：</w:t>
      </w:r>
      <w:r>
        <w:t xml:space="preserve"> </w:t>
      </w:r>
      <w:r>
        <w:rPr>
          <w:rFonts w:hint="eastAsia"/>
        </w:rPr>
        <w:t>监控中心拆分文件的命名格式，</w:t>
      </w:r>
      <w:r>
        <w:rPr>
          <w:rFonts w:hint="eastAsia"/>
          <w:b/>
          <w:bCs/>
        </w:rPr>
        <w:t>可用参数</w:t>
      </w:r>
      <w:r>
        <w:rPr>
          <w:rFonts w:hint="eastAsia"/>
        </w:rPr>
        <w:t>代入；</w:t>
      </w:r>
    </w:p>
    <w:p w14:paraId="2D7ECB25">
      <w:pPr>
        <w:numPr>
          <w:ilvl w:val="0"/>
          <w:numId w:val="2"/>
        </w:numPr>
      </w:pPr>
      <w:r>
        <w:rPr>
          <w:rFonts w:hint="eastAsia"/>
          <w:b/>
          <w:bCs/>
        </w:rPr>
        <w:t>“拆分文件列表”：</w:t>
      </w:r>
      <w:r>
        <w:t xml:space="preserve"> </w:t>
      </w:r>
      <w:r>
        <w:rPr>
          <w:rFonts w:hint="eastAsia"/>
        </w:rPr>
        <w:t>点击【选择】/【移除】，编辑需要的监控中心拆分文件种类；</w:t>
      </w:r>
    </w:p>
    <w:p w14:paraId="4F1930FD">
      <w:pPr>
        <w:pStyle w:val="27"/>
        <w:numPr>
          <w:ilvl w:val="1"/>
          <w:numId w:val="2"/>
        </w:numPr>
      </w:pPr>
      <w:r>
        <w:rPr>
          <w:rFonts w:hint="eastAsia"/>
        </w:rPr>
        <w:t>拆分：即从证监会报送的每一个文件中提取具体特法客户的数据；</w:t>
      </w:r>
    </w:p>
    <w:p w14:paraId="2098CCF6">
      <w:pPr>
        <w:pStyle w:val="26"/>
      </w:pPr>
      <w:r>
        <w:drawing>
          <wp:inline distT="0" distB="0" distL="114300" distR="114300">
            <wp:extent cx="3924300" cy="2276475"/>
            <wp:effectExtent l="0" t="0" r="0" b="0"/>
            <wp:docPr id="5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a:picLocks noChangeAspect="1" noChangeArrowheads="1"/>
                    </pic:cNvPicPr>
                  </pic:nvPicPr>
                  <pic:blipFill>
                    <a:blip r:embed="rId14"/>
                    <a:stretch>
                      <a:fillRect/>
                    </a:stretch>
                  </pic:blipFill>
                  <pic:spPr>
                    <a:xfrm>
                      <a:off x="0" y="0"/>
                      <a:ext cx="3924300" cy="2276475"/>
                    </a:xfrm>
                    <a:prstGeom prst="rect">
                      <a:avLst/>
                    </a:prstGeom>
                    <a:noFill/>
                    <a:ln w="9525">
                      <a:noFill/>
                    </a:ln>
                  </pic:spPr>
                </pic:pic>
              </a:graphicData>
            </a:graphic>
          </wp:inline>
        </w:drawing>
      </w:r>
      <w:r>
        <w:rPr>
          <w:rFonts w:hint="eastAsia"/>
        </w:rPr>
        <w:t>支持一键”全选”</w:t>
      </w:r>
    </w:p>
    <w:p w14:paraId="13A7A6CE">
      <w:pPr>
        <w:numPr>
          <w:ilvl w:val="0"/>
          <w:numId w:val="2"/>
        </w:numPr>
      </w:pPr>
      <w:r>
        <w:rPr>
          <w:rFonts w:hint="eastAsia"/>
          <w:b/>
          <w:bCs/>
        </w:rPr>
        <w:t>“资金账号列表”：</w:t>
      </w:r>
      <w:r>
        <w:t xml:space="preserve"> </w:t>
      </w:r>
      <w:r>
        <w:rPr>
          <w:rFonts w:hint="eastAsia"/>
        </w:rPr>
        <w:t>点击【新增】，添加该特法机构的资金账号；</w:t>
      </w:r>
      <w:r>
        <w:rPr>
          <w:rFonts w:hint="eastAsia"/>
          <w:b/>
          <w:bCs/>
        </w:rPr>
        <w:t>必须添加至少一个资金账号</w:t>
      </w:r>
      <w:r>
        <w:rPr>
          <w:rFonts w:hint="eastAsia"/>
        </w:rPr>
        <w:t>，否则生成出来的特法文件无数据！</w:t>
      </w:r>
    </w:p>
    <w:p w14:paraId="5341CEF5">
      <w:pPr>
        <w:pStyle w:val="27"/>
        <w:numPr>
          <w:ilvl w:val="1"/>
          <w:numId w:val="2"/>
        </w:numPr>
      </w:pPr>
      <w:r>
        <w:rPr>
          <w:rFonts w:hint="eastAsia"/>
        </w:rPr>
        <w:t>如果添加了多个资金账号，程序会默认将这多个客户的同类型数据生成合并生成到同一个文件中；</w:t>
      </w:r>
    </w:p>
    <w:p w14:paraId="485861B9">
      <w:pPr>
        <w:numPr>
          <w:ilvl w:val="0"/>
          <w:numId w:val="2"/>
        </w:numPr>
      </w:pPr>
      <w:r>
        <w:rPr>
          <w:rFonts w:hint="eastAsia"/>
          <w:b/>
          <w:bCs/>
        </w:rPr>
        <w:t>可用参数：</w:t>
      </w:r>
    </w:p>
    <w:p w14:paraId="2B5D84E2">
      <w:pPr>
        <w:numPr>
          <w:ilvl w:val="1"/>
          <w:numId w:val="2"/>
        </w:numPr>
      </w:pPr>
      <w:r>
        <w:rPr>
          <w:b/>
          <w:bCs/>
        </w:rPr>
        <w:t xml:space="preserve">${FundId} </w:t>
      </w:r>
      <w:r>
        <w:rPr>
          <w:rFonts w:hint="eastAsia"/>
          <w:b/>
          <w:bCs/>
        </w:rPr>
        <w:t>特法机构编号</w:t>
      </w:r>
    </w:p>
    <w:p w14:paraId="6D7333BE">
      <w:pPr>
        <w:numPr>
          <w:ilvl w:val="1"/>
          <w:numId w:val="2"/>
        </w:numPr>
      </w:pPr>
      <w:r>
        <w:rPr>
          <w:b/>
          <w:bCs/>
        </w:rPr>
        <w:t xml:space="preserve">${SrcFileName} </w:t>
      </w:r>
      <w:r>
        <w:rPr>
          <w:rFonts w:hint="eastAsia"/>
          <w:b/>
          <w:bCs/>
        </w:rPr>
        <w:t>拆分文件种类</w:t>
      </w:r>
    </w:p>
    <w:p w14:paraId="3E4E2595">
      <w:pPr>
        <w:numPr>
          <w:ilvl w:val="1"/>
          <w:numId w:val="2"/>
        </w:numPr>
      </w:pPr>
      <w:r>
        <w:rPr>
          <w:b/>
          <w:bCs/>
        </w:rPr>
        <w:t xml:space="preserve">${Data_dt} </w:t>
      </w:r>
      <w:r>
        <w:rPr>
          <w:rFonts w:hint="eastAsia"/>
          <w:b/>
          <w:bCs/>
        </w:rPr>
        <w:t>数据日期</w:t>
      </w:r>
    </w:p>
    <w:p w14:paraId="4DAE78E8">
      <w:pPr>
        <w:numPr>
          <w:ilvl w:val="1"/>
          <w:numId w:val="2"/>
        </w:numPr>
      </w:pPr>
      <w:r>
        <w:rPr>
          <w:b/>
          <w:bCs/>
        </w:rPr>
        <w:t xml:space="preserve">${FilterValues} </w:t>
      </w:r>
      <w:r>
        <w:rPr>
          <w:rFonts w:hint="eastAsia"/>
          <w:b/>
          <w:bCs/>
        </w:rPr>
        <w:t>期货公司在监控中心的会员编号</w:t>
      </w:r>
    </w:p>
    <w:bookmarkEnd w:id="9"/>
    <w:p w14:paraId="1AAA10AC">
      <w:pPr>
        <w:pStyle w:val="6"/>
      </w:pPr>
      <w:bookmarkStart w:id="10" w:name="结算账单"/>
      <w:r>
        <w:rPr>
          <w:rFonts w:hint="eastAsia"/>
        </w:rPr>
        <w:t>【结算账单】</w:t>
      </w:r>
    </w:p>
    <w:p w14:paraId="2094C936">
      <w:pPr>
        <w:pStyle w:val="26"/>
      </w:pPr>
      <w:r>
        <w:rPr>
          <w:rFonts w:hint="eastAsia"/>
          <w:b/>
          <w:bCs/>
        </w:rPr>
        <w:t>6.结算账单文件的配置界面：</w:t>
      </w:r>
    </w:p>
    <w:p w14:paraId="16AD46D3">
      <w:pPr>
        <w:pStyle w:val="3"/>
      </w:pPr>
      <w:r>
        <w:drawing>
          <wp:inline distT="0" distB="0" distL="114300" distR="114300">
            <wp:extent cx="5334000" cy="4491355"/>
            <wp:effectExtent l="0" t="0" r="0" b="0"/>
            <wp:docPr id="5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a:picLocks noChangeAspect="1" noChangeArrowheads="1"/>
                    </pic:cNvPicPr>
                  </pic:nvPicPr>
                  <pic:blipFill>
                    <a:blip r:embed="rId15"/>
                    <a:stretch>
                      <a:fillRect/>
                    </a:stretch>
                  </pic:blipFill>
                  <pic:spPr>
                    <a:xfrm>
                      <a:off x="0" y="0"/>
                      <a:ext cx="5334000" cy="4491789"/>
                    </a:xfrm>
                    <a:prstGeom prst="rect">
                      <a:avLst/>
                    </a:prstGeom>
                    <a:noFill/>
                    <a:ln w="9525">
                      <a:noFill/>
                    </a:ln>
                  </pic:spPr>
                </pic:pic>
              </a:graphicData>
            </a:graphic>
          </wp:inline>
        </w:drawing>
      </w:r>
    </w:p>
    <w:p w14:paraId="17BB6E71">
      <w:pPr>
        <w:numPr>
          <w:ilvl w:val="0"/>
          <w:numId w:val="2"/>
        </w:numPr>
      </w:pPr>
      <w:r>
        <w:rPr>
          <w:rFonts w:hint="eastAsia"/>
          <w:b/>
          <w:bCs/>
        </w:rPr>
        <w:t>“需要结算单”：</w:t>
      </w:r>
      <w:r>
        <w:t xml:space="preserve"> </w:t>
      </w:r>
      <w:r>
        <w:rPr>
          <w:rFonts w:hint="eastAsia"/>
        </w:rPr>
        <w:t>开关设置；当前特法客户需要此格式文件，则勾选；</w:t>
      </w:r>
    </w:p>
    <w:p w14:paraId="177E2FFD">
      <w:pPr>
        <w:numPr>
          <w:ilvl w:val="0"/>
          <w:numId w:val="2"/>
        </w:numPr>
      </w:pPr>
      <w:r>
        <w:rPr>
          <w:rFonts w:hint="eastAsia"/>
          <w:b/>
          <w:bCs/>
        </w:rPr>
        <w:t>“子目录名称”：</w:t>
      </w:r>
      <w:r>
        <w:t xml:space="preserve"> </w:t>
      </w:r>
      <w:r>
        <w:rPr>
          <w:rFonts w:hint="eastAsia"/>
        </w:rPr>
        <w:t>如果数据压缩包下要求包含子目录，在此处填子目录的名称，否则不用填；</w:t>
      </w:r>
    </w:p>
    <w:p w14:paraId="01D70076">
      <w:pPr>
        <w:numPr>
          <w:ilvl w:val="0"/>
          <w:numId w:val="2"/>
        </w:numPr>
      </w:pPr>
      <w:r>
        <w:rPr>
          <w:rFonts w:hint="eastAsia"/>
          <w:b/>
          <w:bCs/>
        </w:rPr>
        <w:t>“结算单名称”：</w:t>
      </w:r>
      <w:r>
        <w:t xml:space="preserve"> </w:t>
      </w:r>
      <w:r>
        <w:rPr>
          <w:rFonts w:hint="eastAsia"/>
        </w:rPr>
        <w:t>生成的交易结算单命名格式，可代入参数；</w:t>
      </w:r>
    </w:p>
    <w:p w14:paraId="2549AED0">
      <w:pPr>
        <w:numPr>
          <w:ilvl w:val="0"/>
          <w:numId w:val="2"/>
        </w:numPr>
      </w:pPr>
      <w:r>
        <w:rPr>
          <w:rFonts w:hint="eastAsia"/>
          <w:b/>
          <w:bCs/>
        </w:rPr>
        <w:t>“数据模板”：</w:t>
      </w:r>
      <w:r>
        <w:t xml:space="preserve"> </w:t>
      </w:r>
      <w:r>
        <w:rPr>
          <w:rFonts w:hint="eastAsia"/>
        </w:rPr>
        <w:t>默认可选”逐日盯市账单”or”逐笔账单”；如果公司的特法客户有个性化的账单需求，德索这边一般是通过工具后台配置的方式予以支持，界面此处会自动增加相应可选项；</w:t>
      </w:r>
    </w:p>
    <w:p w14:paraId="6A992EB6">
      <w:pPr>
        <w:numPr>
          <w:ilvl w:val="1"/>
          <w:numId w:val="2"/>
        </w:numPr>
      </w:pPr>
      <w:r>
        <w:rPr>
          <w:rFonts w:hint="eastAsia"/>
          <w:b/>
          <w:bCs/>
        </w:rPr>
        <w:t>SettlementCtpDocByDate.xml为逐日的，</w:t>
      </w:r>
    </w:p>
    <w:p w14:paraId="3DC13F02">
      <w:pPr>
        <w:numPr>
          <w:ilvl w:val="1"/>
          <w:numId w:val="2"/>
        </w:numPr>
      </w:pPr>
      <w:r>
        <w:rPr>
          <w:rFonts w:hint="eastAsia"/>
          <w:b/>
          <w:bCs/>
        </w:rPr>
        <w:t>SettlementCtpDocByTrade.xml为逐笔的</w:t>
      </w:r>
    </w:p>
    <w:p w14:paraId="0FC05F7F">
      <w:pPr>
        <w:numPr>
          <w:ilvl w:val="0"/>
          <w:numId w:val="2"/>
        </w:numPr>
      </w:pPr>
      <w:r>
        <w:rPr>
          <w:rFonts w:hint="eastAsia"/>
          <w:b/>
          <w:bCs/>
        </w:rPr>
        <w:t>“结算单列表”：</w:t>
      </w:r>
      <w:r>
        <w:t xml:space="preserve"> </w:t>
      </w:r>
      <w:r>
        <w:rPr>
          <w:rFonts w:hint="eastAsia"/>
        </w:rPr>
        <w:t>仅在极少特殊情况下会用到，通常不做任何操作，接受系统默认展示即可；</w:t>
      </w:r>
    </w:p>
    <w:p w14:paraId="5B111F30">
      <w:pPr>
        <w:numPr>
          <w:ilvl w:val="0"/>
          <w:numId w:val="2"/>
        </w:numPr>
      </w:pPr>
      <w:r>
        <w:rPr>
          <w:rFonts w:hint="eastAsia"/>
          <w:b/>
          <w:bCs/>
        </w:rPr>
        <w:t>“资金账号列表”：</w:t>
      </w:r>
      <w:r>
        <w:t xml:space="preserve"> </w:t>
      </w:r>
      <w:r>
        <w:rPr>
          <w:rFonts w:hint="eastAsia"/>
        </w:rPr>
        <w:t>点击【新增】，添加该特法机构的资金账号；</w:t>
      </w:r>
      <w:r>
        <w:rPr>
          <w:rFonts w:hint="eastAsia"/>
          <w:b/>
          <w:bCs/>
        </w:rPr>
        <w:t>必须添加至少一个资金账号</w:t>
      </w:r>
      <w:r>
        <w:rPr>
          <w:rFonts w:hint="eastAsia"/>
        </w:rPr>
        <w:t>，否则生成出来的特法文件无数据！</w:t>
      </w:r>
    </w:p>
    <w:p w14:paraId="6591F87D">
      <w:pPr>
        <w:pStyle w:val="27"/>
        <w:numPr>
          <w:ilvl w:val="1"/>
          <w:numId w:val="2"/>
        </w:numPr>
      </w:pPr>
      <w:r>
        <w:rPr>
          <w:rFonts w:hint="eastAsia"/>
        </w:rPr>
        <w:t>如果此处添加了多个资金账号，那么必须勾选”是否合并账单”，否则系统可能无法正常处理；</w:t>
      </w:r>
    </w:p>
    <w:p w14:paraId="1C63AB8E">
      <w:pPr>
        <w:numPr>
          <w:ilvl w:val="0"/>
          <w:numId w:val="2"/>
        </w:numPr>
      </w:pPr>
      <w:r>
        <w:rPr>
          <w:rFonts w:hint="eastAsia"/>
          <w:b/>
          <w:bCs/>
        </w:rPr>
        <w:t>“是否合并账单”：</w:t>
      </w:r>
      <w:r>
        <w:t xml:space="preserve"> </w:t>
      </w:r>
      <w:r>
        <w:rPr>
          <w:rFonts w:hint="eastAsia"/>
        </w:rPr>
        <w:t>如果需要将多个特法资金账号的数据合并到同一张账单里，那么这里打勾；默认不打勾；</w:t>
      </w:r>
    </w:p>
    <w:p w14:paraId="57765C5A">
      <w:pPr>
        <w:pStyle w:val="27"/>
        <w:numPr>
          <w:ilvl w:val="1"/>
          <w:numId w:val="2"/>
        </w:numPr>
      </w:pPr>
      <w:r>
        <w:rPr>
          <w:rFonts w:hint="eastAsia"/>
        </w:rPr>
        <w:t>只有勾选后，“资金账号列表”中维护的多个资金账号才有意义；</w:t>
      </w:r>
    </w:p>
    <w:p w14:paraId="35360BEA">
      <w:pPr>
        <w:numPr>
          <w:ilvl w:val="0"/>
          <w:numId w:val="2"/>
        </w:numPr>
      </w:pPr>
      <w:r>
        <w:rPr>
          <w:rFonts w:hint="eastAsia"/>
          <w:b/>
          <w:bCs/>
        </w:rPr>
        <w:t>可用参数：</w:t>
      </w:r>
    </w:p>
    <w:p w14:paraId="32BB2564">
      <w:pPr>
        <w:numPr>
          <w:ilvl w:val="1"/>
          <w:numId w:val="2"/>
        </w:numPr>
      </w:pPr>
      <w:r>
        <w:rPr>
          <w:b/>
          <w:bCs/>
        </w:rPr>
        <w:t xml:space="preserve">${FundId} </w:t>
      </w:r>
      <w:r>
        <w:rPr>
          <w:rFonts w:hint="eastAsia"/>
          <w:b/>
          <w:bCs/>
        </w:rPr>
        <w:t>特法机构编号</w:t>
      </w:r>
    </w:p>
    <w:p w14:paraId="31D70F70">
      <w:pPr>
        <w:numPr>
          <w:ilvl w:val="1"/>
          <w:numId w:val="2"/>
        </w:numPr>
      </w:pPr>
      <w:r>
        <w:rPr>
          <w:b/>
          <w:bCs/>
        </w:rPr>
        <w:t xml:space="preserve">${FileType} </w:t>
      </w:r>
      <w:r>
        <w:rPr>
          <w:rFonts w:hint="eastAsia"/>
          <w:b/>
          <w:bCs/>
        </w:rPr>
        <w:t>账单文件格式，默认txt</w:t>
      </w:r>
    </w:p>
    <w:p w14:paraId="6C4DDDFB">
      <w:pPr>
        <w:numPr>
          <w:ilvl w:val="1"/>
          <w:numId w:val="2"/>
        </w:numPr>
      </w:pPr>
      <w:r>
        <w:rPr>
          <w:b/>
          <w:bCs/>
        </w:rPr>
        <w:t xml:space="preserve">${Data_dt} </w:t>
      </w:r>
      <w:r>
        <w:rPr>
          <w:rFonts w:hint="eastAsia"/>
          <w:b/>
          <w:bCs/>
        </w:rPr>
        <w:t>数据日期</w:t>
      </w:r>
    </w:p>
    <w:bookmarkEnd w:id="10"/>
    <w:p w14:paraId="7B110B8A">
      <w:pPr>
        <w:pStyle w:val="6"/>
      </w:pPr>
      <w:bookmarkStart w:id="11" w:name="中金所格式文件"/>
      <w:r>
        <w:rPr>
          <w:rFonts w:hint="eastAsia"/>
        </w:rPr>
        <w:t>【中金所格式文件】</w:t>
      </w:r>
    </w:p>
    <w:p w14:paraId="056B2958">
      <w:pPr>
        <w:pStyle w:val="26"/>
      </w:pPr>
      <w:r>
        <w:rPr>
          <w:rFonts w:hint="eastAsia"/>
          <w:b/>
          <w:bCs/>
        </w:rPr>
        <w:t>7.中金所格式文件的配置界面</w:t>
      </w:r>
    </w:p>
    <w:p w14:paraId="782C5FA2">
      <w:pPr>
        <w:pStyle w:val="3"/>
      </w:pPr>
      <w:r>
        <w:drawing>
          <wp:inline distT="0" distB="0" distL="114300" distR="114300">
            <wp:extent cx="5334000" cy="5298440"/>
            <wp:effectExtent l="0" t="0" r="0" b="0"/>
            <wp:docPr id="5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a:picLocks noChangeAspect="1" noChangeArrowheads="1"/>
                    </pic:cNvPicPr>
                  </pic:nvPicPr>
                  <pic:blipFill>
                    <a:blip r:embed="rId16"/>
                    <a:stretch>
                      <a:fillRect/>
                    </a:stretch>
                  </pic:blipFill>
                  <pic:spPr>
                    <a:xfrm>
                      <a:off x="0" y="0"/>
                      <a:ext cx="5334000" cy="5298850"/>
                    </a:xfrm>
                    <a:prstGeom prst="rect">
                      <a:avLst/>
                    </a:prstGeom>
                    <a:noFill/>
                    <a:ln w="9525">
                      <a:noFill/>
                    </a:ln>
                  </pic:spPr>
                </pic:pic>
              </a:graphicData>
            </a:graphic>
          </wp:inline>
        </w:drawing>
      </w:r>
    </w:p>
    <w:p w14:paraId="0B123AFD">
      <w:pPr>
        <w:numPr>
          <w:ilvl w:val="0"/>
          <w:numId w:val="2"/>
        </w:numPr>
      </w:pPr>
      <w:r>
        <w:rPr>
          <w:rFonts w:hint="eastAsia"/>
          <w:b/>
          <w:bCs/>
        </w:rPr>
        <w:t>“需要导出文件”：</w:t>
      </w:r>
      <w:r>
        <w:t xml:space="preserve"> </w:t>
      </w:r>
      <w:r>
        <w:rPr>
          <w:rFonts w:hint="eastAsia"/>
        </w:rPr>
        <w:t>开关设置；当前特法客户需要此格式文件，则勾选；</w:t>
      </w:r>
    </w:p>
    <w:p w14:paraId="0B8C1351">
      <w:pPr>
        <w:numPr>
          <w:ilvl w:val="0"/>
          <w:numId w:val="2"/>
        </w:numPr>
      </w:pPr>
      <w:r>
        <w:rPr>
          <w:rFonts w:hint="eastAsia"/>
          <w:b/>
          <w:bCs/>
        </w:rPr>
        <w:t>“子目录名称”：</w:t>
      </w:r>
      <w:r>
        <w:t xml:space="preserve"> </w:t>
      </w:r>
      <w:r>
        <w:rPr>
          <w:rFonts w:hint="eastAsia"/>
        </w:rPr>
        <w:t>如果数据压缩包下要求包含子目录，在此处填子目录的名称，否则不用填；</w:t>
      </w:r>
    </w:p>
    <w:p w14:paraId="68B641C6">
      <w:pPr>
        <w:numPr>
          <w:ilvl w:val="0"/>
          <w:numId w:val="2"/>
        </w:numPr>
      </w:pPr>
      <w:r>
        <w:rPr>
          <w:rFonts w:hint="eastAsia"/>
          <w:b/>
          <w:bCs/>
        </w:rPr>
        <w:t>“席位编号”：</w:t>
      </w:r>
      <w:r>
        <w:t xml:space="preserve"> </w:t>
      </w:r>
      <w:r>
        <w:rPr>
          <w:rFonts w:hint="eastAsia"/>
        </w:rPr>
        <w:t>即数据文件中的PartId字段，填写后固定死该字段的值，可选填中金所席位号或特法客户编号；不填，则默认跟随各交易所的席位号；</w:t>
      </w:r>
    </w:p>
    <w:p w14:paraId="54DA5DBF">
      <w:pPr>
        <w:numPr>
          <w:ilvl w:val="0"/>
          <w:numId w:val="2"/>
        </w:numPr>
      </w:pPr>
      <w:r>
        <w:rPr>
          <w:rFonts w:hint="eastAsia"/>
          <w:b/>
          <w:bCs/>
        </w:rPr>
        <w:t>“交易员代码”</w:t>
      </w:r>
      <w:r>
        <w:rPr>
          <w:b/>
          <w:bCs/>
        </w:rPr>
        <w:t>&amp;</w:t>
      </w:r>
      <w:r>
        <w:rPr>
          <w:rFonts w:hint="eastAsia"/>
          <w:b/>
          <w:bCs/>
        </w:rPr>
        <w:t>“报单号类型”</w:t>
      </w:r>
      <w:r>
        <w:t xml:space="preserve"> </w:t>
      </w:r>
      <w:r>
        <w:rPr>
          <w:rFonts w:hint="eastAsia"/>
        </w:rPr>
        <w:t>为系统预留参数，默认不用配置或修改；</w:t>
      </w:r>
    </w:p>
    <w:p w14:paraId="53F91502">
      <w:pPr>
        <w:numPr>
          <w:ilvl w:val="0"/>
          <w:numId w:val="2"/>
        </w:numPr>
      </w:pPr>
      <w:r>
        <w:rPr>
          <w:rFonts w:hint="eastAsia"/>
          <w:b/>
          <w:bCs/>
        </w:rPr>
        <w:t>“文件名称”：</w:t>
      </w:r>
      <w:r>
        <w:t xml:space="preserve"> </w:t>
      </w:r>
      <w:r>
        <w:rPr>
          <w:rFonts w:hint="eastAsia"/>
        </w:rPr>
        <w:t>生成的中金所格式文件的命名格式，可代入参数；</w:t>
      </w:r>
    </w:p>
    <w:p w14:paraId="4B3C4784">
      <w:pPr>
        <w:pStyle w:val="27"/>
        <w:numPr>
          <w:ilvl w:val="1"/>
          <w:numId w:val="2"/>
        </w:numPr>
      </w:pPr>
      <w:r>
        <w:rPr>
          <w:rFonts w:hint="eastAsia"/>
        </w:rPr>
        <w:t>参考格式：</w:t>
      </w:r>
      <w:r>
        <w:rPr>
          <w:i/>
          <w:iCs/>
        </w:rPr>
        <w:t>${FundId}_SG01_${ TradeDay }_1_${ FileName }.${FileType}</w:t>
      </w:r>
    </w:p>
    <w:p w14:paraId="008F0551">
      <w:pPr>
        <w:numPr>
          <w:ilvl w:val="0"/>
          <w:numId w:val="2"/>
        </w:numPr>
      </w:pPr>
      <w:r>
        <w:rPr>
          <w:rFonts w:hint="eastAsia"/>
          <w:b/>
          <w:bCs/>
        </w:rPr>
        <w:t>“导出文件列表”：</w:t>
      </w:r>
      <w:r>
        <w:t xml:space="preserve"> </w:t>
      </w:r>
      <w:r>
        <w:rPr>
          <w:rFonts w:hint="eastAsia"/>
        </w:rPr>
        <w:t>点击【选择】/【移除】，编辑需要的中金所格式文件的种类；</w:t>
      </w:r>
    </w:p>
    <w:p w14:paraId="0689E5B7">
      <w:pPr>
        <w:pStyle w:val="27"/>
        <w:numPr>
          <w:ilvl w:val="1"/>
          <w:numId w:val="2"/>
        </w:numPr>
      </w:pPr>
      <w:r>
        <w:rPr>
          <w:rFonts w:hint="eastAsia"/>
        </w:rPr>
        <w:t>文件格式有TXT和DBF类型；其中，生成的DBF文件，需要特殊工具才能打开，用EXCEL查看可能会显示乱码；</w:t>
      </w:r>
    </w:p>
    <w:p w14:paraId="3A07E472">
      <w:pPr>
        <w:numPr>
          <w:ilvl w:val="0"/>
          <w:numId w:val="2"/>
        </w:numPr>
      </w:pPr>
      <w:r>
        <w:rPr>
          <w:rFonts w:hint="eastAsia"/>
          <w:b/>
          <w:bCs/>
        </w:rPr>
        <w:t>“资金账号列表”：</w:t>
      </w:r>
      <w:r>
        <w:t xml:space="preserve"> </w:t>
      </w:r>
      <w:r>
        <w:rPr>
          <w:rFonts w:hint="eastAsia"/>
        </w:rPr>
        <w:t>点击【新增】，添加该特法机构的资金账号；</w:t>
      </w:r>
      <w:r>
        <w:rPr>
          <w:rFonts w:hint="eastAsia"/>
          <w:b/>
          <w:bCs/>
        </w:rPr>
        <w:t>必须添加至少一个资金账号</w:t>
      </w:r>
      <w:r>
        <w:rPr>
          <w:rFonts w:hint="eastAsia"/>
        </w:rPr>
        <w:t>，否则生成出来的特法文件无数据！</w:t>
      </w:r>
    </w:p>
    <w:p w14:paraId="5EE257D4">
      <w:pPr>
        <w:pStyle w:val="27"/>
        <w:numPr>
          <w:ilvl w:val="1"/>
          <w:numId w:val="2"/>
        </w:numPr>
      </w:pPr>
      <w:r>
        <w:rPr>
          <w:rFonts w:hint="eastAsia"/>
        </w:rPr>
        <w:t>如果此处添加了多个资金账号，那么必须勾选”是否合并账单”，否则系统可能无法正常处理；</w:t>
      </w:r>
    </w:p>
    <w:p w14:paraId="2F0E6697">
      <w:pPr>
        <w:numPr>
          <w:ilvl w:val="0"/>
          <w:numId w:val="2"/>
        </w:numPr>
      </w:pPr>
      <w:r>
        <w:rPr>
          <w:rFonts w:hint="eastAsia"/>
          <w:b/>
          <w:bCs/>
        </w:rPr>
        <w:t>“是否合并账单”：</w:t>
      </w:r>
      <w:r>
        <w:t xml:space="preserve"> </w:t>
      </w:r>
      <w:r>
        <w:rPr>
          <w:rFonts w:hint="eastAsia"/>
        </w:rPr>
        <w:t>如果需要将多个特法资金账号的数据合并到同一张账单里，那么这里打勾；默认不打勾；</w:t>
      </w:r>
    </w:p>
    <w:p w14:paraId="35F9110B">
      <w:pPr>
        <w:pStyle w:val="27"/>
        <w:numPr>
          <w:ilvl w:val="1"/>
          <w:numId w:val="2"/>
        </w:numPr>
      </w:pPr>
      <w:r>
        <w:rPr>
          <w:rFonts w:hint="eastAsia"/>
        </w:rPr>
        <w:t>只有勾选后，“资金账号列表”中维护的多个资金账号才有意义；</w:t>
      </w:r>
    </w:p>
    <w:p w14:paraId="38D5A22A">
      <w:pPr>
        <w:numPr>
          <w:ilvl w:val="0"/>
          <w:numId w:val="2"/>
        </w:numPr>
      </w:pPr>
      <w:r>
        <w:rPr>
          <w:rFonts w:hint="eastAsia"/>
          <w:b/>
          <w:bCs/>
        </w:rPr>
        <w:t>可用参数：</w:t>
      </w:r>
    </w:p>
    <w:p w14:paraId="048C1687">
      <w:pPr>
        <w:numPr>
          <w:ilvl w:val="1"/>
          <w:numId w:val="2"/>
        </w:numPr>
      </w:pPr>
      <w:r>
        <w:rPr>
          <w:rFonts w:hint="eastAsia"/>
          <w:b/>
          <w:bCs/>
        </w:rPr>
        <w:t>${FundId}—特法机构编号</w:t>
      </w:r>
    </w:p>
    <w:p w14:paraId="196EB0E0">
      <w:pPr>
        <w:numPr>
          <w:ilvl w:val="1"/>
          <w:numId w:val="2"/>
        </w:numPr>
      </w:pPr>
      <w:r>
        <w:rPr>
          <w:rFonts w:hint="eastAsia"/>
          <w:b/>
          <w:bCs/>
        </w:rPr>
        <w:t>${TradeDay}--数据日期</w:t>
      </w:r>
    </w:p>
    <w:p w14:paraId="65E48544">
      <w:pPr>
        <w:numPr>
          <w:ilvl w:val="1"/>
          <w:numId w:val="2"/>
        </w:numPr>
      </w:pPr>
      <w:r>
        <w:rPr>
          <w:rFonts w:hint="eastAsia"/>
          <w:b/>
          <w:bCs/>
        </w:rPr>
        <w:t>${FileName}—导出中金所文件的种类</w:t>
      </w:r>
    </w:p>
    <w:p w14:paraId="428907C4">
      <w:pPr>
        <w:numPr>
          <w:ilvl w:val="1"/>
          <w:numId w:val="2"/>
        </w:numPr>
      </w:pPr>
      <w:r>
        <w:rPr>
          <w:rFonts w:hint="eastAsia"/>
          <w:b/>
          <w:bCs/>
        </w:rPr>
        <w:t>${FileType}—导出中金所文件的格式</w:t>
      </w:r>
    </w:p>
    <w:bookmarkEnd w:id="11"/>
    <w:p w14:paraId="3E7FD497">
      <w:pPr>
        <w:pStyle w:val="6"/>
      </w:pPr>
      <w:bookmarkStart w:id="12" w:name="邮件设置"/>
      <w:r>
        <w:rPr>
          <w:rFonts w:hint="eastAsia"/>
        </w:rPr>
        <w:t>【邮件设置】</w:t>
      </w:r>
    </w:p>
    <w:p w14:paraId="24F591BF">
      <w:pPr>
        <w:pStyle w:val="26"/>
      </w:pPr>
      <w:r>
        <w:drawing>
          <wp:inline distT="0" distB="0" distL="114300" distR="114300">
            <wp:extent cx="5334000" cy="5914390"/>
            <wp:effectExtent l="0" t="0" r="0" b="0"/>
            <wp:docPr id="6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a:picLocks noChangeAspect="1" noChangeArrowheads="1"/>
                    </pic:cNvPicPr>
                  </pic:nvPicPr>
                  <pic:blipFill>
                    <a:blip r:embed="rId17"/>
                    <a:stretch>
                      <a:fillRect/>
                    </a:stretch>
                  </pic:blipFill>
                  <pic:spPr>
                    <a:xfrm>
                      <a:off x="0" y="0"/>
                      <a:ext cx="5334000" cy="5914930"/>
                    </a:xfrm>
                    <a:prstGeom prst="rect">
                      <a:avLst/>
                    </a:prstGeom>
                    <a:noFill/>
                    <a:ln w="9525">
                      <a:noFill/>
                    </a:ln>
                  </pic:spPr>
                </pic:pic>
              </a:graphicData>
            </a:graphic>
          </wp:inline>
        </w:drawing>
      </w:r>
    </w:p>
    <w:bookmarkEnd w:id="12"/>
    <w:p w14:paraId="264BA3DC">
      <w:pPr>
        <w:pStyle w:val="6"/>
      </w:pPr>
      <w:bookmarkStart w:id="13" w:name="深证通设置"/>
      <w:r>
        <w:rPr>
          <w:rFonts w:hint="eastAsia"/>
        </w:rPr>
        <w:t>【深证通设置】</w:t>
      </w:r>
    </w:p>
    <w:p w14:paraId="7D2FB7CB">
      <w:pPr>
        <w:pStyle w:val="26"/>
      </w:pPr>
      <w:r>
        <w:drawing>
          <wp:inline distT="0" distB="0" distL="114300" distR="114300">
            <wp:extent cx="5334000" cy="5914390"/>
            <wp:effectExtent l="0" t="0" r="0" b="0"/>
            <wp:docPr id="6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a:picLocks noChangeAspect="1" noChangeArrowheads="1"/>
                    </pic:cNvPicPr>
                  </pic:nvPicPr>
                  <pic:blipFill>
                    <a:blip r:embed="rId18"/>
                    <a:stretch>
                      <a:fillRect/>
                    </a:stretch>
                  </pic:blipFill>
                  <pic:spPr>
                    <a:xfrm>
                      <a:off x="0" y="0"/>
                      <a:ext cx="5334000" cy="5914930"/>
                    </a:xfrm>
                    <a:prstGeom prst="rect">
                      <a:avLst/>
                    </a:prstGeom>
                    <a:noFill/>
                    <a:ln w="9525">
                      <a:noFill/>
                    </a:ln>
                  </pic:spPr>
                </pic:pic>
              </a:graphicData>
            </a:graphic>
          </wp:inline>
        </w:drawing>
      </w:r>
    </w:p>
    <w:p w14:paraId="40C97717">
      <w:pPr>
        <w:numPr>
          <w:ilvl w:val="0"/>
          <w:numId w:val="2"/>
        </w:numPr>
      </w:pPr>
      <w:r>
        <w:rPr>
          <w:rFonts w:hint="eastAsia"/>
        </w:rPr>
        <w:t>深证通目录：作为发送文件目的地的关键信息，必须设置正确；</w:t>
      </w:r>
    </w:p>
    <w:p w14:paraId="58623623">
      <w:pPr>
        <w:numPr>
          <w:ilvl w:val="0"/>
          <w:numId w:val="2"/>
        </w:numPr>
      </w:pPr>
      <w:r>
        <w:rPr>
          <w:rFonts w:hint="eastAsia"/>
        </w:rPr>
        <w:t>深证通名称、小站：可以按需维护，对于本系统来说只是一种标签，系统不做检验和发送时的识别处理；</w:t>
      </w:r>
    </w:p>
    <w:bookmarkEnd w:id="13"/>
    <w:p w14:paraId="3C0A6B48">
      <w:pPr>
        <w:pStyle w:val="6"/>
      </w:pPr>
      <w:bookmarkStart w:id="14" w:name="更多设置"/>
      <w:r>
        <w:rPr>
          <w:rFonts w:hint="eastAsia"/>
        </w:rPr>
        <w:t>【更多设置】</w:t>
      </w:r>
    </w:p>
    <w:p w14:paraId="1CA98F56">
      <w:pPr>
        <w:pStyle w:val="26"/>
      </w:pPr>
      <w:r>
        <w:drawing>
          <wp:inline distT="0" distB="0" distL="114300" distR="114300">
            <wp:extent cx="5334000" cy="5914390"/>
            <wp:effectExtent l="0" t="0" r="0" b="0"/>
            <wp:docPr id="7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a:picLocks noChangeAspect="1" noChangeArrowheads="1"/>
                    </pic:cNvPicPr>
                  </pic:nvPicPr>
                  <pic:blipFill>
                    <a:blip r:embed="rId19"/>
                    <a:stretch>
                      <a:fillRect/>
                    </a:stretch>
                  </pic:blipFill>
                  <pic:spPr>
                    <a:xfrm>
                      <a:off x="0" y="0"/>
                      <a:ext cx="5334000" cy="5914930"/>
                    </a:xfrm>
                    <a:prstGeom prst="rect">
                      <a:avLst/>
                    </a:prstGeom>
                    <a:noFill/>
                    <a:ln w="9525">
                      <a:noFill/>
                    </a:ln>
                  </pic:spPr>
                </pic:pic>
              </a:graphicData>
            </a:graphic>
          </wp:inline>
        </w:drawing>
      </w:r>
    </w:p>
    <w:bookmarkEnd w:id="7"/>
    <w:bookmarkEnd w:id="14"/>
    <w:p w14:paraId="41BFED9D">
      <w:pPr>
        <w:pStyle w:val="5"/>
      </w:pPr>
      <w:bookmarkStart w:id="15" w:name="_Toc29941"/>
      <w:bookmarkStart w:id="16" w:name="文件设置"/>
      <w:r>
        <w:rPr>
          <w:rFonts w:hint="eastAsia"/>
        </w:rPr>
        <w:t>文件设置</w:t>
      </w:r>
      <w:bookmarkEnd w:id="15"/>
    </w:p>
    <w:p w14:paraId="730A22B3">
      <w:pPr>
        <w:pStyle w:val="26"/>
      </w:pPr>
      <w:r>
        <w:rPr>
          <w:rFonts w:hint="eastAsia"/>
          <w:b/>
          <w:bCs/>
        </w:rPr>
        <w:t>8.可以在”设置”-&gt;“文件设置”菜单中细化特法客户的具体配置</w:t>
      </w:r>
    </w:p>
    <w:p w14:paraId="0FDF349D">
      <w:pPr>
        <w:pStyle w:val="3"/>
      </w:pPr>
      <w:r>
        <w:drawing>
          <wp:inline distT="0" distB="0" distL="114300" distR="114300">
            <wp:extent cx="5334000" cy="1610360"/>
            <wp:effectExtent l="0" t="0" r="0" b="0"/>
            <wp:docPr id="7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a:picLocks noChangeAspect="1" noChangeArrowheads="1"/>
                    </pic:cNvPicPr>
                  </pic:nvPicPr>
                  <pic:blipFill>
                    <a:blip r:embed="rId20"/>
                    <a:stretch>
                      <a:fillRect/>
                    </a:stretch>
                  </pic:blipFill>
                  <pic:spPr>
                    <a:xfrm>
                      <a:off x="0" y="0"/>
                      <a:ext cx="5334000" cy="1610820"/>
                    </a:xfrm>
                    <a:prstGeom prst="rect">
                      <a:avLst/>
                    </a:prstGeom>
                    <a:noFill/>
                    <a:ln w="9525">
                      <a:noFill/>
                    </a:ln>
                  </pic:spPr>
                </pic:pic>
              </a:graphicData>
            </a:graphic>
          </wp:inline>
        </w:drawing>
      </w:r>
    </w:p>
    <w:p w14:paraId="3DAD997D">
      <w:pPr>
        <w:pStyle w:val="3"/>
      </w:pPr>
      <w:r>
        <w:rPr>
          <w:rFonts w:hint="eastAsia"/>
          <w:b/>
          <w:bCs/>
        </w:rPr>
        <w:t>文件设置，属于进阶设置，是对【机构设置】的补充。</w:t>
      </w:r>
    </w:p>
    <w:p w14:paraId="0C8CEB52">
      <w:pPr>
        <w:pStyle w:val="3"/>
      </w:pPr>
      <w:r>
        <w:rPr>
          <w:rFonts w:hint="eastAsia"/>
        </w:rPr>
        <w:t>比如某个客户既需要”逐日账单”，又需要”逐笔账单”，</w:t>
      </w:r>
    </w:p>
    <w:p w14:paraId="0D813EC5">
      <w:pPr>
        <w:pStyle w:val="3"/>
      </w:pPr>
      <w:r>
        <w:rPr>
          <w:rFonts w:hint="eastAsia"/>
        </w:rPr>
        <w:t>而在【机构设置】-【结算账单】中只能设置其中一种，</w:t>
      </w:r>
    </w:p>
    <w:p w14:paraId="46A0466B">
      <w:pPr>
        <w:pStyle w:val="3"/>
      </w:pPr>
      <w:r>
        <w:rPr>
          <w:rFonts w:hint="eastAsia"/>
        </w:rPr>
        <w:t>那么另一种就可以在这个”文件设置”界面下通过新增所需要的文件类别来达成。</w:t>
      </w:r>
    </w:p>
    <w:p w14:paraId="5028FC92">
      <w:pPr>
        <w:pStyle w:val="3"/>
      </w:pPr>
      <w:r>
        <w:drawing>
          <wp:inline distT="0" distB="0" distL="114300" distR="114300">
            <wp:extent cx="5334000" cy="4254500"/>
            <wp:effectExtent l="0" t="0" r="0" b="0"/>
            <wp:docPr id="7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a:picLocks noChangeAspect="1" noChangeArrowheads="1"/>
                    </pic:cNvPicPr>
                  </pic:nvPicPr>
                  <pic:blipFill>
                    <a:blip r:embed="rId21"/>
                    <a:stretch>
                      <a:fillRect/>
                    </a:stretch>
                  </pic:blipFill>
                  <pic:spPr>
                    <a:xfrm>
                      <a:off x="0" y="0"/>
                      <a:ext cx="5334000" cy="4255017"/>
                    </a:xfrm>
                    <a:prstGeom prst="rect">
                      <a:avLst/>
                    </a:prstGeom>
                    <a:noFill/>
                    <a:ln w="9525">
                      <a:noFill/>
                    </a:ln>
                  </pic:spPr>
                </pic:pic>
              </a:graphicData>
            </a:graphic>
          </wp:inline>
        </w:drawing>
      </w:r>
    </w:p>
    <w:p w14:paraId="139BA7F7">
      <w:pPr>
        <w:pStyle w:val="3"/>
      </w:pPr>
      <w:r>
        <w:rPr>
          <w:rFonts w:hint="eastAsia"/>
        </w:rPr>
        <w:t>新增”文件设置”的界面，跟”机构设置”界面基本一致。</w:t>
      </w:r>
    </w:p>
    <w:bookmarkEnd w:id="16"/>
    <w:p w14:paraId="24739335">
      <w:pPr>
        <w:pStyle w:val="5"/>
      </w:pPr>
      <w:bookmarkStart w:id="17" w:name="_Toc10376"/>
      <w:bookmarkStart w:id="18" w:name="邮件深证通合并发送设置"/>
      <w:r>
        <w:rPr>
          <w:rFonts w:hint="eastAsia"/>
        </w:rPr>
        <w:t>邮件&amp;深证通合并发送设置</w:t>
      </w:r>
      <w:bookmarkEnd w:id="17"/>
    </w:p>
    <w:p w14:paraId="4396E8FB">
      <w:pPr>
        <w:pStyle w:val="26"/>
      </w:pPr>
      <w:r>
        <w:rPr>
          <w:rFonts w:hint="eastAsia"/>
          <w:b/>
          <w:bCs/>
        </w:rPr>
        <w:t>9.邮件发送以及深证通合并发送的配置界面：</w:t>
      </w:r>
    </w:p>
    <w:p w14:paraId="4EB9A29F">
      <w:pPr>
        <w:pStyle w:val="3"/>
      </w:pPr>
      <w:r>
        <w:drawing>
          <wp:inline distT="0" distB="0" distL="114300" distR="114300">
            <wp:extent cx="5334000" cy="3080385"/>
            <wp:effectExtent l="0" t="0" r="0" b="0"/>
            <wp:docPr id="8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a:picLocks noChangeAspect="1" noChangeArrowheads="1"/>
                    </pic:cNvPicPr>
                  </pic:nvPicPr>
                  <pic:blipFill>
                    <a:blip r:embed="rId22"/>
                    <a:stretch>
                      <a:fillRect/>
                    </a:stretch>
                  </pic:blipFill>
                  <pic:spPr>
                    <a:xfrm>
                      <a:off x="0" y="0"/>
                      <a:ext cx="5334000" cy="3080935"/>
                    </a:xfrm>
                    <a:prstGeom prst="rect">
                      <a:avLst/>
                    </a:prstGeom>
                    <a:noFill/>
                    <a:ln w="9525">
                      <a:noFill/>
                    </a:ln>
                  </pic:spPr>
                </pic:pic>
              </a:graphicData>
            </a:graphic>
          </wp:inline>
        </w:drawing>
      </w:r>
    </w:p>
    <w:p w14:paraId="54CF3FB1">
      <w:pPr>
        <w:pStyle w:val="3"/>
      </w:pPr>
      <w:r>
        <w:rPr>
          <w:rFonts w:hint="eastAsia"/>
        </w:rPr>
        <w:t>A.邮件合并发送配置界面</w:t>
      </w:r>
    </w:p>
    <w:p w14:paraId="6D2D9419">
      <w:pPr>
        <w:pStyle w:val="3"/>
      </w:pPr>
      <w:r>
        <w:drawing>
          <wp:inline distT="0" distB="0" distL="114300" distR="114300">
            <wp:extent cx="5334000" cy="2637155"/>
            <wp:effectExtent l="0" t="0" r="0" b="0"/>
            <wp:docPr id="8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a:picLocks noChangeAspect="1" noChangeArrowheads="1"/>
                    </pic:cNvPicPr>
                  </pic:nvPicPr>
                  <pic:blipFill>
                    <a:blip r:embed="rId23"/>
                    <a:stretch>
                      <a:fillRect/>
                    </a:stretch>
                  </pic:blipFill>
                  <pic:spPr>
                    <a:xfrm>
                      <a:off x="0" y="0"/>
                      <a:ext cx="5334000" cy="2637497"/>
                    </a:xfrm>
                    <a:prstGeom prst="rect">
                      <a:avLst/>
                    </a:prstGeom>
                    <a:noFill/>
                    <a:ln w="9525">
                      <a:noFill/>
                    </a:ln>
                  </pic:spPr>
                </pic:pic>
              </a:graphicData>
            </a:graphic>
          </wp:inline>
        </w:drawing>
      </w:r>
    </w:p>
    <w:p w14:paraId="0505207E">
      <w:pPr>
        <w:pStyle w:val="3"/>
      </w:pPr>
      <w:r>
        <w:rPr>
          <w:rFonts w:hint="eastAsia"/>
        </w:rPr>
        <w:t>B.深证通合并发送配置界面</w:t>
      </w:r>
    </w:p>
    <w:p w14:paraId="0EE9F93B">
      <w:pPr>
        <w:pStyle w:val="3"/>
      </w:pPr>
      <w:r>
        <w:rPr>
          <w:rFonts w:hint="eastAsia"/>
          <w:b/>
          <w:bCs/>
        </w:rPr>
        <w:t>邮件/深证通发送功能介绍</w:t>
      </w:r>
    </w:p>
    <w:p w14:paraId="00CC07F2">
      <w:pPr>
        <w:pStyle w:val="3"/>
      </w:pPr>
      <w:r>
        <w:rPr>
          <w:rFonts w:hint="eastAsia"/>
        </w:rPr>
        <w:t>合并发送机构列表：</w:t>
      </w:r>
    </w:p>
    <w:p w14:paraId="44BFD828">
      <w:pPr>
        <w:pStyle w:val="3"/>
      </w:pPr>
      <w:r>
        <w:rPr>
          <w:rFonts w:hint="eastAsia"/>
        </w:rPr>
        <w:t>通常一般是一一对应，一个特法账号发一封邮件；</w:t>
      </w:r>
    </w:p>
    <w:p w14:paraId="351B75C3">
      <w:pPr>
        <w:pStyle w:val="3"/>
      </w:pPr>
      <w:r>
        <w:rPr>
          <w:rFonts w:hint="eastAsia"/>
        </w:rPr>
        <w:t>但程序也支持多个不同账号的特法客户数据包，或者同一个特法账号但特法文件种类或命名不同的多个特法数据包，通过同一封邮件/深证通发送给客户</w:t>
      </w:r>
    </w:p>
    <w:p w14:paraId="32D03219">
      <w:pPr>
        <w:pStyle w:val="3"/>
      </w:pPr>
      <w:r>
        <w:rPr>
          <w:rFonts w:hint="eastAsia"/>
          <w:b/>
          <w:bCs/>
        </w:rPr>
        <w:t>发送类型：</w:t>
      </w:r>
      <w:r>
        <w:t xml:space="preserve"> </w:t>
      </w:r>
      <w:r>
        <w:rPr>
          <w:rFonts w:hint="eastAsia"/>
        </w:rPr>
        <w:t>下拉框选择，发送的是压缩包，还是未压缩的文件夹</w:t>
      </w:r>
    </w:p>
    <w:p w14:paraId="648EC05E">
      <w:pPr>
        <w:pStyle w:val="3"/>
      </w:pPr>
      <w:r>
        <w:rPr>
          <w:rFonts w:hint="eastAsia"/>
          <w:b/>
          <w:bCs/>
        </w:rPr>
        <w:t>发送”结算单”目录下对应的结算单文件：</w:t>
      </w:r>
    </w:p>
    <w:p w14:paraId="7744AC21">
      <w:pPr>
        <w:pStyle w:val="3"/>
      </w:pPr>
      <w:r>
        <w:rPr>
          <w:rFonts w:hint="eastAsia"/>
        </w:rPr>
        <w:t>此功能是用于客户需要额外单独发送未压缩的结算单TXT文件，不需要的不用打勾</w:t>
      </w:r>
    </w:p>
    <w:p w14:paraId="6093E250">
      <w:pPr>
        <w:pStyle w:val="3"/>
      </w:pPr>
      <w:r>
        <w:rPr>
          <w:rFonts w:hint="eastAsia"/>
          <w:b/>
          <w:bCs/>
        </w:rPr>
        <w:t>是否”自动发送”：</w:t>
      </w:r>
      <w:r>
        <w:t xml:space="preserve"> </w:t>
      </w:r>
      <w:r>
        <w:rPr>
          <w:rFonts w:hint="eastAsia"/>
        </w:rPr>
        <w:t>针对深证通发送的功能，勾上后特法程序会在发送特法数据包的同时，自动生成OK标识文件到深证通的程序下，触发发送指令，以此实现自动发送的效果。</w:t>
      </w:r>
    </w:p>
    <w:bookmarkEnd w:id="18"/>
    <w:p w14:paraId="30BB3471">
      <w:pPr>
        <w:pStyle w:val="5"/>
      </w:pPr>
      <w:bookmarkStart w:id="19" w:name="_Toc10661"/>
      <w:bookmarkStart w:id="20" w:name="发送邮件深证通"/>
      <w:r>
        <w:rPr>
          <w:rFonts w:hint="eastAsia"/>
        </w:rPr>
        <w:t>发送：邮件/深证通</w:t>
      </w:r>
      <w:bookmarkEnd w:id="19"/>
    </w:p>
    <w:p w14:paraId="73A0DBEA">
      <w:pPr>
        <w:pStyle w:val="26"/>
      </w:pPr>
      <w:r>
        <w:rPr>
          <w:rFonts w:hint="eastAsia"/>
          <w:b/>
          <w:bCs/>
        </w:rPr>
        <w:t>10.发送邮件/发送深证通</w:t>
      </w:r>
    </w:p>
    <w:p w14:paraId="10EE4012">
      <w:pPr>
        <w:pStyle w:val="3"/>
      </w:pPr>
      <w:r>
        <w:drawing>
          <wp:inline distT="0" distB="0" distL="114300" distR="114300">
            <wp:extent cx="5334000" cy="2459990"/>
            <wp:effectExtent l="0" t="0" r="0" b="0"/>
            <wp:docPr id="8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a:picLocks noChangeAspect="1" noChangeArrowheads="1"/>
                    </pic:cNvPicPr>
                  </pic:nvPicPr>
                  <pic:blipFill>
                    <a:blip r:embed="rId24"/>
                    <a:stretch>
                      <a:fillRect/>
                    </a:stretch>
                  </pic:blipFill>
                  <pic:spPr>
                    <a:xfrm>
                      <a:off x="0" y="0"/>
                      <a:ext cx="5334000" cy="2460549"/>
                    </a:xfrm>
                    <a:prstGeom prst="rect">
                      <a:avLst/>
                    </a:prstGeom>
                    <a:noFill/>
                    <a:ln w="9525">
                      <a:noFill/>
                    </a:ln>
                  </pic:spPr>
                </pic:pic>
              </a:graphicData>
            </a:graphic>
          </wp:inline>
        </w:drawing>
      </w:r>
    </w:p>
    <w:p w14:paraId="3E31FEAC">
      <w:pPr>
        <w:pStyle w:val="3"/>
      </w:pPr>
      <w:r>
        <w:drawing>
          <wp:inline distT="0" distB="0" distL="114300" distR="114300">
            <wp:extent cx="5334000" cy="1337310"/>
            <wp:effectExtent l="0" t="0" r="0" b="0"/>
            <wp:docPr id="9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a:picLocks noChangeAspect="1" noChangeArrowheads="1"/>
                    </pic:cNvPicPr>
                  </pic:nvPicPr>
                  <pic:blipFill>
                    <a:blip r:embed="rId25"/>
                    <a:stretch>
                      <a:fillRect/>
                    </a:stretch>
                  </pic:blipFill>
                  <pic:spPr>
                    <a:xfrm>
                      <a:off x="0" y="0"/>
                      <a:ext cx="5334000" cy="1337806"/>
                    </a:xfrm>
                    <a:prstGeom prst="rect">
                      <a:avLst/>
                    </a:prstGeom>
                    <a:noFill/>
                    <a:ln w="9525">
                      <a:noFill/>
                    </a:ln>
                  </pic:spPr>
                </pic:pic>
              </a:graphicData>
            </a:graphic>
          </wp:inline>
        </w:drawing>
      </w:r>
    </w:p>
    <w:p w14:paraId="6936BA0F">
      <w:pPr>
        <w:pStyle w:val="3"/>
      </w:pPr>
      <w:r>
        <w:drawing>
          <wp:inline distT="0" distB="0" distL="114300" distR="114300">
            <wp:extent cx="5334000" cy="1487805"/>
            <wp:effectExtent l="0" t="0" r="0" b="0"/>
            <wp:docPr id="9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a:picLocks noChangeAspect="1" noChangeArrowheads="1"/>
                    </pic:cNvPicPr>
                  </pic:nvPicPr>
                  <pic:blipFill>
                    <a:blip r:embed="rId26"/>
                    <a:stretch>
                      <a:fillRect/>
                    </a:stretch>
                  </pic:blipFill>
                  <pic:spPr>
                    <a:xfrm>
                      <a:off x="0" y="0"/>
                      <a:ext cx="5334000" cy="1488025"/>
                    </a:xfrm>
                    <a:prstGeom prst="rect">
                      <a:avLst/>
                    </a:prstGeom>
                    <a:noFill/>
                    <a:ln w="9525">
                      <a:noFill/>
                    </a:ln>
                  </pic:spPr>
                </pic:pic>
              </a:graphicData>
            </a:graphic>
          </wp:inline>
        </w:drawing>
      </w:r>
    </w:p>
    <w:p w14:paraId="612D5A08">
      <w:pPr>
        <w:pStyle w:val="3"/>
      </w:pPr>
      <w:r>
        <w:rPr>
          <w:rFonts w:hint="eastAsia"/>
        </w:rPr>
        <w:t>邮件/深证通发送界面</w:t>
      </w:r>
      <w:r>
        <w:t xml:space="preserve"> </w:t>
      </w:r>
      <w:r>
        <w:rPr>
          <w:rFonts w:hint="eastAsia"/>
        </w:rPr>
        <w:t>，注意选择正确的”交易日期”，即特法数据文件的日期</w:t>
      </w:r>
    </w:p>
    <w:p w14:paraId="07F046A2">
      <w:pPr>
        <w:pStyle w:val="3"/>
      </w:pPr>
      <w:r>
        <w:rPr>
          <w:rFonts w:hint="eastAsia"/>
          <w:b/>
          <w:bCs/>
        </w:rPr>
        <w:t>注意事项</w:t>
      </w:r>
      <w:r>
        <w:rPr>
          <w:rFonts w:hint="eastAsia"/>
        </w:rPr>
        <w:t>：</w:t>
      </w:r>
    </w:p>
    <w:p w14:paraId="6464E401">
      <w:pPr>
        <w:pStyle w:val="3"/>
      </w:pPr>
      <w:r>
        <w:rPr>
          <w:rFonts w:hint="eastAsia"/>
        </w:rPr>
        <w:t>（1）</w:t>
      </w:r>
      <w:r>
        <w:rPr>
          <w:rFonts w:hint="eastAsia"/>
          <w:b/>
          <w:bCs/>
        </w:rPr>
        <w:t>发送邮件</w:t>
      </w:r>
      <w:r>
        <w:rPr>
          <w:rFonts w:hint="eastAsia"/>
        </w:rPr>
        <w:t>：需要机器能连接外网。如本机可连外网，则可以直接在本机操作；如不能，需要把整个特法文件夹”特法生成发送工具.zip”拷贝到另一台可以连外网的机器上，然后再执行发送邮件的操作。</w:t>
      </w:r>
    </w:p>
    <w:p w14:paraId="2AB20C91">
      <w:pPr>
        <w:pStyle w:val="3"/>
      </w:pPr>
      <w:r>
        <w:rPr>
          <w:rFonts w:hint="eastAsia"/>
        </w:rPr>
        <w:t>（2）</w:t>
      </w:r>
      <w:r>
        <w:rPr>
          <w:rFonts w:hint="eastAsia"/>
          <w:b/>
          <w:bCs/>
        </w:rPr>
        <w:t>发送深圳通</w:t>
      </w:r>
      <w:r>
        <w:rPr>
          <w:rFonts w:hint="eastAsia"/>
        </w:rPr>
        <w:t>：需要机器能访问深证通所在文件夹。如本机可直接访问，则本机上执行；否则也要把整个特法文件夹拷贝到可以访问深证通文件夹的机器上，再执行发送。</w:t>
      </w:r>
    </w:p>
    <w:p w14:paraId="6E215A5E">
      <w:pPr>
        <w:pStyle w:val="3"/>
      </w:pPr>
      <w:r>
        <w:rPr>
          <w:rFonts w:hint="eastAsia"/>
        </w:rPr>
        <w:t>（3）当压缩rar文件结果变成zip或rar文件无法成功压缩时，可能是由于本地电脑没有将WinRAR解压程序配置进系统环境变量，具体操作可参考：</w:t>
      </w:r>
      <w:r>
        <w:fldChar w:fldCharType="begin"/>
      </w:r>
      <w:r>
        <w:instrText xml:space="preserve"> HYPERLINK "https://jingyan.baidu.com/article/db55b6099d1e0d4ba30a2fc0.html" \h </w:instrText>
      </w:r>
      <w:r>
        <w:fldChar w:fldCharType="separate"/>
      </w:r>
      <w:r>
        <w:rPr>
          <w:rStyle w:val="23"/>
          <w:rFonts w:hint="eastAsia"/>
        </w:rPr>
        <w:t>如何添加环境变量或路径添加到系统的Path里面</w:t>
      </w:r>
      <w:r>
        <w:rPr>
          <w:rStyle w:val="23"/>
          <w:rFonts w:hint="eastAsia"/>
        </w:rPr>
        <w:fldChar w:fldCharType="end"/>
      </w:r>
    </w:p>
    <w:bookmarkEnd w:id="20"/>
    <w:p w14:paraId="40BCD407">
      <w:pPr>
        <w:pStyle w:val="5"/>
      </w:pPr>
      <w:bookmarkStart w:id="21" w:name="_Toc4927"/>
      <w:bookmarkStart w:id="22" w:name="配置文件导入导出"/>
      <w:r>
        <w:rPr>
          <w:rFonts w:hint="eastAsia"/>
        </w:rPr>
        <w:t>配置文件导入导出</w:t>
      </w:r>
      <w:bookmarkEnd w:id="21"/>
    </w:p>
    <w:p w14:paraId="43936A2A">
      <w:pPr>
        <w:pStyle w:val="26"/>
      </w:pPr>
      <w:r>
        <w:rPr>
          <w:rFonts w:hint="eastAsia"/>
        </w:rPr>
        <w:t>11.配置文件导入导出</w:t>
      </w:r>
    </w:p>
    <w:p w14:paraId="6B871802">
      <w:pPr>
        <w:pStyle w:val="3"/>
      </w:pPr>
      <w:r>
        <w:drawing>
          <wp:inline distT="0" distB="0" distL="114300" distR="114300">
            <wp:extent cx="5334000" cy="3286125"/>
            <wp:effectExtent l="0" t="0" r="0" b="0"/>
            <wp:docPr id="1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a:picLocks noChangeAspect="1" noChangeArrowheads="1"/>
                    </pic:cNvPicPr>
                  </pic:nvPicPr>
                  <pic:blipFill>
                    <a:blip r:embed="rId27"/>
                    <a:stretch>
                      <a:fillRect/>
                    </a:stretch>
                  </pic:blipFill>
                  <pic:spPr>
                    <a:xfrm>
                      <a:off x="0" y="0"/>
                      <a:ext cx="5334000" cy="3286221"/>
                    </a:xfrm>
                    <a:prstGeom prst="rect">
                      <a:avLst/>
                    </a:prstGeom>
                    <a:noFill/>
                    <a:ln w="9525">
                      <a:noFill/>
                    </a:ln>
                  </pic:spPr>
                </pic:pic>
              </a:graphicData>
            </a:graphic>
          </wp:inline>
        </w:drawing>
      </w:r>
    </w:p>
    <w:p w14:paraId="587E585A">
      <w:pPr>
        <w:pStyle w:val="3"/>
      </w:pPr>
      <w:r>
        <w:rPr>
          <w:rFonts w:hint="eastAsia"/>
        </w:rPr>
        <w:t>【设置】-【配置文件导入导出】界面介绍：</w:t>
      </w:r>
    </w:p>
    <w:p w14:paraId="4F7D59EA">
      <w:pPr>
        <w:pStyle w:val="3"/>
      </w:pPr>
      <w:r>
        <w:rPr>
          <w:rFonts w:hint="eastAsia"/>
          <w:b/>
          <w:bCs/>
        </w:rPr>
        <w:t>Excel批量导入：</w:t>
      </w:r>
      <w:r>
        <w:t xml:space="preserve"> </w:t>
      </w:r>
      <w:r>
        <w:rPr>
          <w:rFonts w:hint="eastAsia"/>
        </w:rPr>
        <w:t>结算部同事参照德索提供的Excel模板，把特法客户配置维护好，支持批量导入特法客户；</w:t>
      </w:r>
    </w:p>
    <w:p w14:paraId="33115E51">
      <w:pPr>
        <w:pStyle w:val="3"/>
      </w:pPr>
      <w:r>
        <w:rPr>
          <w:rFonts w:hint="eastAsia"/>
          <w:b/>
          <w:bCs/>
        </w:rPr>
        <w:t>配置文件导出（Excel）：</w:t>
      </w:r>
      <w:r>
        <w:t xml:space="preserve"> </w:t>
      </w:r>
      <w:r>
        <w:rPr>
          <w:rFonts w:hint="eastAsia"/>
        </w:rPr>
        <w:t>把当前后台中所有的特法客户配置，导出成一个Excel文件；</w:t>
      </w:r>
    </w:p>
    <w:p w14:paraId="6DA6F2F7">
      <w:pPr>
        <w:pStyle w:val="3"/>
      </w:pPr>
      <w:r>
        <w:rPr>
          <w:rFonts w:hint="eastAsia"/>
          <w:b/>
          <w:bCs/>
        </w:rPr>
        <w:t>特法工具配置文件迁移：针对原先使用德索老版本特法工具的客户。</w:t>
      </w:r>
      <w:r>
        <w:t xml:space="preserve"> </w:t>
      </w:r>
      <w:r>
        <w:rPr>
          <w:rFonts w:hint="eastAsia"/>
        </w:rPr>
        <w:t>通过导入本地的3个XML配置文件，转化成适用于新特法配置的数据库记录，从而实现新老特法工具客户配置的批量迁移。</w:t>
      </w:r>
    </w:p>
    <w:bookmarkEnd w:id="1"/>
    <w:bookmarkEnd w:id="5"/>
    <w:bookmarkEnd w:id="22"/>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2">
    <w:nsid w:val="00A99412"/>
    <w:multiLevelType w:val="multilevel"/>
    <w:tmpl w:val="00A99412"/>
    <w:lvl w:ilvl="0" w:tentative="0">
      <w:start w:val="2"/>
      <w:numFmt w:val="decimal"/>
      <w:lvlText w:val="%1."/>
      <w:lvlJc w:val="left"/>
      <w:pPr>
        <w:ind w:left="720" w:hanging="360"/>
      </w:pPr>
    </w:lvl>
    <w:lvl w:ilvl="1" w:tentative="0">
      <w:start w:val="2"/>
      <w:numFmt w:val="decimal"/>
      <w:lvlText w:val="%2."/>
      <w:lvlJc w:val="left"/>
      <w:pPr>
        <w:ind w:left="1440" w:hanging="360"/>
      </w:pPr>
    </w:lvl>
    <w:lvl w:ilvl="2" w:tentative="0">
      <w:start w:val="2"/>
      <w:numFmt w:val="decimal"/>
      <w:lvlText w:val="%3."/>
      <w:lvlJc w:val="left"/>
      <w:pPr>
        <w:ind w:left="2160" w:hanging="360"/>
      </w:pPr>
    </w:lvl>
    <w:lvl w:ilvl="3" w:tentative="0">
      <w:start w:val="2"/>
      <w:numFmt w:val="decimal"/>
      <w:lvlText w:val="%4."/>
      <w:lvlJc w:val="left"/>
      <w:pPr>
        <w:ind w:left="2880" w:hanging="360"/>
      </w:pPr>
    </w:lvl>
    <w:lvl w:ilvl="4" w:tentative="0">
      <w:start w:val="2"/>
      <w:numFmt w:val="decimal"/>
      <w:lvlText w:val="%5."/>
      <w:lvlJc w:val="left"/>
      <w:pPr>
        <w:ind w:left="3600" w:hanging="360"/>
      </w:pPr>
    </w:lvl>
    <w:lvl w:ilvl="5" w:tentative="0">
      <w:start w:val="2"/>
      <w:numFmt w:val="decimal"/>
      <w:lvlText w:val="%6."/>
      <w:lvlJc w:val="left"/>
      <w:pPr>
        <w:ind w:left="4320" w:hanging="360"/>
      </w:pPr>
    </w:lvl>
    <w:lvl w:ilvl="6" w:tentative="0">
      <w:start w:val="2"/>
      <w:numFmt w:val="decimal"/>
      <w:lvlText w:val="%7."/>
      <w:lvlJc w:val="left"/>
      <w:pPr>
        <w:ind w:left="5040" w:hanging="360"/>
      </w:pPr>
    </w:lvl>
    <w:lvl w:ilvl="7" w:tentative="0">
      <w:start w:val="2"/>
      <w:numFmt w:val="decimal"/>
      <w:lvlText w:val="%8."/>
      <w:lvlJc w:val="left"/>
      <w:pPr>
        <w:ind w:left="5760" w:hanging="360"/>
      </w:pPr>
    </w:lvl>
    <w:lvl w:ilvl="8" w:tentative="0">
      <w:start w:val="2"/>
      <w:numFmt w:val="decimal"/>
      <w:lvlText w:val="%9."/>
      <w:lvlJc w:val="left"/>
      <w:pPr>
        <w:ind w:left="6480" w:hanging="360"/>
      </w:pPr>
    </w:lvl>
  </w:abstractNum>
  <w:abstractNum w:abstractNumId="3">
    <w:nsid w:val="00A99414"/>
    <w:multiLevelType w:val="multilevel"/>
    <w:tmpl w:val="00A99414"/>
    <w:lvl w:ilvl="0" w:tentative="0">
      <w:start w:val="4"/>
      <w:numFmt w:val="decimal"/>
      <w:lvlText w:val="%1."/>
      <w:lvlJc w:val="left"/>
      <w:pPr>
        <w:ind w:left="720" w:hanging="360"/>
      </w:pPr>
    </w:lvl>
    <w:lvl w:ilvl="1" w:tentative="0">
      <w:start w:val="4"/>
      <w:numFmt w:val="decimal"/>
      <w:lvlText w:val="%2."/>
      <w:lvlJc w:val="left"/>
      <w:pPr>
        <w:ind w:left="1440" w:hanging="360"/>
      </w:pPr>
    </w:lvl>
    <w:lvl w:ilvl="2" w:tentative="0">
      <w:start w:val="4"/>
      <w:numFmt w:val="decimal"/>
      <w:lvlText w:val="%3."/>
      <w:lvlJc w:val="left"/>
      <w:pPr>
        <w:ind w:left="2160" w:hanging="360"/>
      </w:pPr>
    </w:lvl>
    <w:lvl w:ilvl="3" w:tentative="0">
      <w:start w:val="4"/>
      <w:numFmt w:val="decimal"/>
      <w:lvlText w:val="%4."/>
      <w:lvlJc w:val="left"/>
      <w:pPr>
        <w:ind w:left="2880" w:hanging="360"/>
      </w:pPr>
    </w:lvl>
    <w:lvl w:ilvl="4" w:tentative="0">
      <w:start w:val="4"/>
      <w:numFmt w:val="decimal"/>
      <w:lvlText w:val="%5."/>
      <w:lvlJc w:val="left"/>
      <w:pPr>
        <w:ind w:left="3600" w:hanging="360"/>
      </w:pPr>
    </w:lvl>
    <w:lvl w:ilvl="5" w:tentative="0">
      <w:start w:val="4"/>
      <w:numFmt w:val="decimal"/>
      <w:lvlText w:val="%6."/>
      <w:lvlJc w:val="left"/>
      <w:pPr>
        <w:ind w:left="4320" w:hanging="360"/>
      </w:pPr>
    </w:lvl>
    <w:lvl w:ilvl="6" w:tentative="0">
      <w:start w:val="4"/>
      <w:numFmt w:val="decimal"/>
      <w:lvlText w:val="%7."/>
      <w:lvlJc w:val="left"/>
      <w:pPr>
        <w:ind w:left="5040" w:hanging="360"/>
      </w:pPr>
    </w:lvl>
    <w:lvl w:ilvl="7" w:tentative="0">
      <w:start w:val="4"/>
      <w:numFmt w:val="decimal"/>
      <w:lvlText w:val="%8."/>
      <w:lvlJc w:val="left"/>
      <w:pPr>
        <w:ind w:left="5760" w:hanging="360"/>
      </w:pPr>
    </w:lvl>
    <w:lvl w:ilvl="8" w:tentative="0">
      <w:start w:val="4"/>
      <w:numFmt w:val="decimal"/>
      <w:lvlText w:val="%9."/>
      <w:lvlJc w:val="left"/>
      <w:pPr>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195029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5"/>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6"/>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7"/>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8"/>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9"/>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0"/>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1"/>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2"/>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uiPriority w:val="0"/>
  </w:style>
  <w:style w:type="table" w:default="1" w:styleId="21">
    <w:name w:val="Normal Table"/>
    <w:uiPriority w:val="0"/>
    <w:tblPr>
      <w:tblCellMar>
        <w:top w:w="0" w:type="dxa"/>
        <w:left w:w="108" w:type="dxa"/>
        <w:bottom w:w="0" w:type="dxa"/>
        <w:right w:w="108" w:type="dxa"/>
      </w:tblCellMar>
    </w:tblPr>
  </w:style>
  <w:style w:type="paragraph" w:styleId="3">
    <w:name w:val="Body Text"/>
    <w:basedOn w:val="1"/>
    <w:link w:val="24"/>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toc 3"/>
    <w:basedOn w:val="1"/>
    <w:next w:val="1"/>
    <w:uiPriority w:val="0"/>
    <w:pPr>
      <w:ind w:left="840" w:leftChars="400"/>
    </w:pPr>
  </w:style>
  <w:style w:type="paragraph" w:styleId="15">
    <w:name w:val="Date"/>
    <w:basedOn w:val="16"/>
    <w:next w:val="3"/>
    <w:qFormat/>
    <w:uiPriority w:val="0"/>
    <w:pPr>
      <w:keepNext/>
      <w:keepLines/>
    </w:pPr>
    <w:rPr>
      <w:sz w:val="24"/>
      <w:szCs w:val="24"/>
    </w:rPr>
  </w:style>
  <w:style w:type="paragraph" w:styleId="16">
    <w:name w:val="Title"/>
    <w:basedOn w:val="1"/>
    <w:next w:val="3"/>
    <w:link w:val="28"/>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7">
    <w:name w:val="toc 1"/>
    <w:basedOn w:val="1"/>
    <w:next w:val="1"/>
    <w:uiPriority w:val="0"/>
  </w:style>
  <w:style w:type="paragraph" w:styleId="18">
    <w:name w:val="Subtitle"/>
    <w:basedOn w:val="16"/>
    <w:next w:val="3"/>
    <w:link w:val="29"/>
    <w:qFormat/>
    <w:uiPriority w:val="11"/>
    <w:rPr>
      <w:rFonts w:eastAsiaTheme="majorEastAsia" w:cstheme="majorBidi"/>
      <w:spacing w:val="15"/>
      <w:sz w:val="28"/>
      <w:szCs w:val="28"/>
    </w:rPr>
  </w:style>
  <w:style w:type="paragraph" w:styleId="19">
    <w:name w:val="footnote text"/>
    <w:basedOn w:val="1"/>
    <w:unhideWhenUsed/>
    <w:qFormat/>
    <w:uiPriority w:val="9"/>
  </w:style>
  <w:style w:type="paragraph" w:styleId="20">
    <w:name w:val="toc 2"/>
    <w:basedOn w:val="1"/>
    <w:next w:val="1"/>
    <w:uiPriority w:val="0"/>
    <w:pPr>
      <w:ind w:left="420" w:leftChars="200"/>
    </w:pPr>
  </w:style>
  <w:style w:type="character" w:styleId="23">
    <w:name w:val="Hyperlink"/>
    <w:basedOn w:val="24"/>
    <w:qFormat/>
    <w:uiPriority w:val="0"/>
    <w:rPr>
      <w:color w:val="156082" w:themeColor="accent1"/>
    </w:rPr>
  </w:style>
  <w:style w:type="character" w:customStyle="1" w:styleId="24">
    <w:name w:val="Body Text Char"/>
    <w:basedOn w:val="22"/>
    <w:link w:val="3"/>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Title Char"/>
    <w:basedOn w:val="22"/>
    <w:link w:val="16"/>
    <w:uiPriority w:val="10"/>
    <w:rPr>
      <w:rFonts w:asciiTheme="majorHAnsi" w:hAnsiTheme="majorHAnsi" w:eastAsiaTheme="majorEastAsia" w:cstheme="majorBidi"/>
      <w:sz w:val="56"/>
      <w:szCs w:val="56"/>
    </w:rPr>
  </w:style>
  <w:style w:type="character" w:customStyle="1" w:styleId="29">
    <w:name w:val="Subtitle Char"/>
    <w:basedOn w:val="22"/>
    <w:link w:val="18"/>
    <w:uiPriority w:val="11"/>
    <w:rPr>
      <w:rFonts w:eastAsiaTheme="majorEastAsia" w:cstheme="majorBidi"/>
      <w:color w:val="585858" w:themeColor="text1" w:themeTint="A6"/>
      <w:spacing w:val="15"/>
      <w:sz w:val="28"/>
      <w:szCs w:val="28"/>
    </w:rPr>
  </w:style>
  <w:style w:type="paragraph" w:customStyle="1" w:styleId="30">
    <w:name w:val="Author"/>
    <w:basedOn w:val="16"/>
    <w:next w:val="3"/>
    <w:qFormat/>
    <w:uiPriority w:val="0"/>
    <w:pPr>
      <w:keepNext/>
      <w:keepLines/>
    </w:pPr>
    <w:rPr>
      <w:sz w:val="24"/>
      <w:szCs w:val="24"/>
    </w:rPr>
  </w:style>
  <w:style w:type="paragraph" w:customStyle="1" w:styleId="31">
    <w:name w:val="Abstract Title"/>
    <w:basedOn w:val="1"/>
    <w:next w:val="32"/>
    <w:qFormat/>
    <w:uiPriority w:val="0"/>
    <w:pPr>
      <w:keepNext/>
      <w:keepLines/>
      <w:spacing w:before="300" w:after="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Heading 1 Char"/>
    <w:basedOn w:val="22"/>
    <w:link w:val="2"/>
    <w:uiPriority w:val="9"/>
    <w:rPr>
      <w:rFonts w:asciiTheme="majorHAnsi" w:hAnsiTheme="majorHAnsi" w:eastAsiaTheme="majorEastAsia" w:cstheme="majorBidi"/>
      <w:color w:val="0F4761" w:themeColor="accent1" w:themeShade="BF"/>
      <w:sz w:val="40"/>
      <w:szCs w:val="40"/>
    </w:rPr>
  </w:style>
  <w:style w:type="character" w:customStyle="1" w:styleId="35">
    <w:name w:val="Heading 2 Char"/>
    <w:basedOn w:val="22"/>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6">
    <w:name w:val="Heading 3 Char"/>
    <w:basedOn w:val="22"/>
    <w:link w:val="5"/>
    <w:semiHidden/>
    <w:uiPriority w:val="9"/>
    <w:rPr>
      <w:rFonts w:eastAsiaTheme="majorEastAsia" w:cstheme="majorBidi"/>
      <w:color w:val="0F4761" w:themeColor="accent1" w:themeShade="BF"/>
      <w:sz w:val="28"/>
      <w:szCs w:val="28"/>
    </w:rPr>
  </w:style>
  <w:style w:type="character" w:customStyle="1" w:styleId="37">
    <w:name w:val="Heading 4 Char"/>
    <w:basedOn w:val="22"/>
    <w:link w:val="6"/>
    <w:semiHidden/>
    <w:qFormat/>
    <w:uiPriority w:val="9"/>
    <w:rPr>
      <w:rFonts w:eastAsiaTheme="majorEastAsia" w:cstheme="majorBidi"/>
      <w:i/>
      <w:iCs/>
      <w:color w:val="0F4761" w:themeColor="accent1" w:themeShade="BF"/>
    </w:rPr>
  </w:style>
  <w:style w:type="character" w:customStyle="1" w:styleId="38">
    <w:name w:val="Heading 5 Char"/>
    <w:basedOn w:val="22"/>
    <w:link w:val="7"/>
    <w:semiHidden/>
    <w:uiPriority w:val="9"/>
    <w:rPr>
      <w:rFonts w:eastAsiaTheme="majorEastAsia" w:cstheme="majorBidi"/>
      <w:color w:val="0F4761" w:themeColor="accent1" w:themeShade="BF"/>
    </w:rPr>
  </w:style>
  <w:style w:type="character" w:customStyle="1" w:styleId="39">
    <w:name w:val="Heading 6 Char"/>
    <w:basedOn w:val="22"/>
    <w:link w:val="8"/>
    <w:semiHidden/>
    <w:uiPriority w:val="9"/>
    <w:rPr>
      <w:rFonts w:eastAsiaTheme="majorEastAsia" w:cstheme="majorBidi"/>
      <w:i/>
      <w:iCs/>
      <w:color w:val="585858" w:themeColor="text1" w:themeTint="A6"/>
    </w:rPr>
  </w:style>
  <w:style w:type="character" w:customStyle="1" w:styleId="40">
    <w:name w:val="Heading 7 Char"/>
    <w:basedOn w:val="22"/>
    <w:link w:val="9"/>
    <w:semiHidden/>
    <w:uiPriority w:val="9"/>
    <w:rPr>
      <w:rFonts w:eastAsiaTheme="majorEastAsia" w:cstheme="majorBidi"/>
      <w:color w:val="585858" w:themeColor="text1" w:themeTint="A6"/>
    </w:rPr>
  </w:style>
  <w:style w:type="character" w:customStyle="1" w:styleId="41">
    <w:name w:val="Heading 8 Char"/>
    <w:basedOn w:val="22"/>
    <w:link w:val="10"/>
    <w:semiHidden/>
    <w:uiPriority w:val="9"/>
    <w:rPr>
      <w:rFonts w:eastAsiaTheme="majorEastAsia" w:cstheme="majorBidi"/>
      <w:i/>
      <w:iCs/>
      <w:color w:val="262626" w:themeColor="text1" w:themeTint="D8"/>
    </w:rPr>
  </w:style>
  <w:style w:type="character" w:customStyle="1" w:styleId="42">
    <w:name w:val="Heading 9 Char"/>
    <w:basedOn w:val="22"/>
    <w:link w:val="11"/>
    <w:semiHidden/>
    <w:uiPriority w:val="9"/>
    <w:rPr>
      <w:rFonts w:eastAsiaTheme="majorEastAsia" w:cstheme="majorBidi"/>
      <w:color w:val="262626" w:themeColor="text1" w:themeTint="D8"/>
    </w:rPr>
  </w:style>
  <w:style w:type="paragraph" w:customStyle="1" w:styleId="43">
    <w:name w:val="Footnote Block Text"/>
    <w:basedOn w:val="19"/>
    <w:next w:val="19"/>
    <w:unhideWhenUsed/>
    <w:qFormat/>
    <w:uiPriority w:val="9"/>
    <w:pPr>
      <w:spacing w:before="100" w:after="100"/>
      <w:ind w:left="480" w:right="480" w:firstLine="0"/>
    </w:pPr>
  </w:style>
  <w:style w:type="table" w:customStyle="1" w:styleId="44">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5">
    <w:name w:val="Definition Term"/>
    <w:basedOn w:val="1"/>
    <w:next w:val="46"/>
    <w:uiPriority w:val="0"/>
    <w:pPr>
      <w:keepNext/>
      <w:keepLines/>
      <w:spacing w:after="0"/>
    </w:pPr>
    <w:rPr>
      <w:b/>
    </w:rPr>
  </w:style>
  <w:style w:type="paragraph" w:customStyle="1" w:styleId="46">
    <w:name w:val="Definition"/>
    <w:basedOn w:val="1"/>
    <w:uiPriority w:val="0"/>
  </w:style>
  <w:style w:type="paragraph" w:customStyle="1" w:styleId="47">
    <w:name w:val="Table Caption"/>
    <w:basedOn w:val="12"/>
    <w:qFormat/>
    <w:uiPriority w:val="0"/>
    <w:pPr>
      <w:keepNext/>
    </w:pPr>
  </w:style>
  <w:style w:type="paragraph" w:customStyle="1" w:styleId="48">
    <w:name w:val="Image Caption"/>
    <w:basedOn w:val="12"/>
    <w:qFormat/>
    <w:uiPriority w:val="0"/>
  </w:style>
  <w:style w:type="paragraph" w:customStyle="1" w:styleId="49">
    <w:name w:val="Figure"/>
    <w:basedOn w:val="1"/>
    <w:qFormat/>
    <w:uiPriority w:val="0"/>
  </w:style>
  <w:style w:type="paragraph" w:customStyle="1" w:styleId="50">
    <w:name w:val="Captioned Figure"/>
    <w:basedOn w:val="49"/>
    <w:qFormat/>
    <w:uiPriority w:val="0"/>
    <w:pPr>
      <w:keepNext/>
    </w:pPr>
  </w:style>
  <w:style w:type="character" w:customStyle="1" w:styleId="51">
    <w:name w:val="Verbatim Char"/>
    <w:basedOn w:val="24"/>
    <w:link w:val="52"/>
    <w:qFormat/>
    <w:uiPriority w:val="0"/>
    <w:rPr>
      <w:rFonts w:ascii="Consolas" w:hAnsi="Consolas"/>
      <w:sz w:val="22"/>
    </w:rPr>
  </w:style>
  <w:style w:type="paragraph" w:customStyle="1" w:styleId="52">
    <w:name w:val="Source Code"/>
    <w:basedOn w:val="1"/>
    <w:link w:val="51"/>
    <w:qFormat/>
    <w:uiPriority w:val="0"/>
    <w:pPr>
      <w:wordWrap w:val="0"/>
    </w:pPr>
  </w:style>
  <w:style w:type="character" w:customStyle="1" w:styleId="53">
    <w:name w:val="Section Number"/>
    <w:basedOn w:val="24"/>
    <w:qFormat/>
    <w:uiPriority w:val="0"/>
  </w:style>
  <w:style w:type="paragraph" w:customStyle="1" w:styleId="54">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5">
    <w:name w:val="KeywordTok"/>
    <w:basedOn w:val="51"/>
    <w:qFormat/>
    <w:uiPriority w:val="0"/>
    <w:rPr>
      <w:b/>
      <w:color w:val="007020"/>
    </w:rPr>
  </w:style>
  <w:style w:type="character" w:customStyle="1" w:styleId="56">
    <w:name w:val="DataTypeTok"/>
    <w:basedOn w:val="51"/>
    <w:qFormat/>
    <w:uiPriority w:val="0"/>
    <w:rPr>
      <w:color w:val="902000"/>
    </w:rPr>
  </w:style>
  <w:style w:type="character" w:customStyle="1" w:styleId="57">
    <w:name w:val="DecValTok"/>
    <w:basedOn w:val="51"/>
    <w:qFormat/>
    <w:uiPriority w:val="0"/>
    <w:rPr>
      <w:color w:val="40A070"/>
    </w:rPr>
  </w:style>
  <w:style w:type="character" w:customStyle="1" w:styleId="58">
    <w:name w:val="BaseNTok"/>
    <w:basedOn w:val="51"/>
    <w:qFormat/>
    <w:uiPriority w:val="0"/>
    <w:rPr>
      <w:color w:val="40A070"/>
    </w:rPr>
  </w:style>
  <w:style w:type="character" w:customStyle="1" w:styleId="59">
    <w:name w:val="FloatTok"/>
    <w:basedOn w:val="51"/>
    <w:qFormat/>
    <w:uiPriority w:val="0"/>
    <w:rPr>
      <w:color w:val="40A070"/>
    </w:rPr>
  </w:style>
  <w:style w:type="character" w:customStyle="1" w:styleId="60">
    <w:name w:val="ConstantTok"/>
    <w:basedOn w:val="51"/>
    <w:qFormat/>
    <w:uiPriority w:val="0"/>
    <w:rPr>
      <w:color w:val="880000"/>
    </w:rPr>
  </w:style>
  <w:style w:type="character" w:customStyle="1" w:styleId="61">
    <w:name w:val="CharTok"/>
    <w:basedOn w:val="51"/>
    <w:qFormat/>
    <w:uiPriority w:val="0"/>
    <w:rPr>
      <w:color w:val="4070A0"/>
    </w:rPr>
  </w:style>
  <w:style w:type="character" w:customStyle="1" w:styleId="62">
    <w:name w:val="SpecialCharTok"/>
    <w:basedOn w:val="51"/>
    <w:qFormat/>
    <w:uiPriority w:val="0"/>
    <w:rPr>
      <w:color w:val="4070A0"/>
    </w:rPr>
  </w:style>
  <w:style w:type="character" w:customStyle="1" w:styleId="63">
    <w:name w:val="StringTok"/>
    <w:basedOn w:val="51"/>
    <w:qFormat/>
    <w:uiPriority w:val="0"/>
    <w:rPr>
      <w:color w:val="4070A0"/>
    </w:rPr>
  </w:style>
  <w:style w:type="character" w:customStyle="1" w:styleId="64">
    <w:name w:val="VerbatimStringTok"/>
    <w:basedOn w:val="51"/>
    <w:qFormat/>
    <w:uiPriority w:val="0"/>
    <w:rPr>
      <w:color w:val="4070A0"/>
    </w:rPr>
  </w:style>
  <w:style w:type="character" w:customStyle="1" w:styleId="65">
    <w:name w:val="SpecialStringTok"/>
    <w:basedOn w:val="51"/>
    <w:qFormat/>
    <w:uiPriority w:val="0"/>
    <w:rPr>
      <w:color w:val="BB6688"/>
    </w:rPr>
  </w:style>
  <w:style w:type="character" w:customStyle="1" w:styleId="66">
    <w:name w:val="ImportTok"/>
    <w:basedOn w:val="51"/>
    <w:qFormat/>
    <w:uiPriority w:val="0"/>
    <w:rPr>
      <w:b/>
      <w:color w:val="008000"/>
    </w:rPr>
  </w:style>
  <w:style w:type="character" w:customStyle="1" w:styleId="67">
    <w:name w:val="CommentTok"/>
    <w:basedOn w:val="51"/>
    <w:qFormat/>
    <w:uiPriority w:val="0"/>
    <w:rPr>
      <w:i/>
      <w:color w:val="60A0B0"/>
    </w:rPr>
  </w:style>
  <w:style w:type="character" w:customStyle="1" w:styleId="68">
    <w:name w:val="DocumentationTok"/>
    <w:basedOn w:val="51"/>
    <w:qFormat/>
    <w:uiPriority w:val="0"/>
    <w:rPr>
      <w:i/>
      <w:color w:val="BA2121"/>
    </w:rPr>
  </w:style>
  <w:style w:type="character" w:customStyle="1" w:styleId="69">
    <w:name w:val="AnnotationTok"/>
    <w:basedOn w:val="51"/>
    <w:qFormat/>
    <w:uiPriority w:val="0"/>
    <w:rPr>
      <w:b/>
      <w:i/>
      <w:color w:val="60A0B0"/>
    </w:rPr>
  </w:style>
  <w:style w:type="character" w:customStyle="1" w:styleId="70">
    <w:name w:val="CommentVarTok"/>
    <w:basedOn w:val="51"/>
    <w:qFormat/>
    <w:uiPriority w:val="0"/>
    <w:rPr>
      <w:b/>
      <w:i/>
      <w:color w:val="60A0B0"/>
    </w:rPr>
  </w:style>
  <w:style w:type="character" w:customStyle="1" w:styleId="71">
    <w:name w:val="OtherTok"/>
    <w:basedOn w:val="51"/>
    <w:qFormat/>
    <w:uiPriority w:val="0"/>
    <w:rPr>
      <w:color w:val="007020"/>
    </w:rPr>
  </w:style>
  <w:style w:type="character" w:customStyle="1" w:styleId="72">
    <w:name w:val="FunctionTok"/>
    <w:basedOn w:val="51"/>
    <w:qFormat/>
    <w:uiPriority w:val="0"/>
    <w:rPr>
      <w:color w:val="06287E"/>
    </w:rPr>
  </w:style>
  <w:style w:type="character" w:customStyle="1" w:styleId="73">
    <w:name w:val="VariableTok"/>
    <w:basedOn w:val="51"/>
    <w:qFormat/>
    <w:uiPriority w:val="0"/>
    <w:rPr>
      <w:color w:val="19177C"/>
    </w:rPr>
  </w:style>
  <w:style w:type="character" w:customStyle="1" w:styleId="74">
    <w:name w:val="ControlFlowTok"/>
    <w:basedOn w:val="51"/>
    <w:qFormat/>
    <w:uiPriority w:val="0"/>
    <w:rPr>
      <w:b/>
      <w:color w:val="007020"/>
    </w:rPr>
  </w:style>
  <w:style w:type="character" w:customStyle="1" w:styleId="75">
    <w:name w:val="OperatorTok"/>
    <w:basedOn w:val="51"/>
    <w:qFormat/>
    <w:uiPriority w:val="0"/>
    <w:rPr>
      <w:color w:val="666666"/>
    </w:rPr>
  </w:style>
  <w:style w:type="character" w:customStyle="1" w:styleId="76">
    <w:name w:val="BuiltInTok"/>
    <w:basedOn w:val="51"/>
    <w:qFormat/>
    <w:uiPriority w:val="0"/>
    <w:rPr>
      <w:color w:val="008000"/>
    </w:rPr>
  </w:style>
  <w:style w:type="character" w:customStyle="1" w:styleId="77">
    <w:name w:val="ExtensionTok"/>
    <w:basedOn w:val="51"/>
    <w:qFormat/>
    <w:uiPriority w:val="0"/>
  </w:style>
  <w:style w:type="character" w:customStyle="1" w:styleId="78">
    <w:name w:val="PreprocessorTok"/>
    <w:basedOn w:val="51"/>
    <w:qFormat/>
    <w:uiPriority w:val="0"/>
    <w:rPr>
      <w:color w:val="BC7A00"/>
    </w:rPr>
  </w:style>
  <w:style w:type="character" w:customStyle="1" w:styleId="79">
    <w:name w:val="AttributeTok"/>
    <w:basedOn w:val="51"/>
    <w:qFormat/>
    <w:uiPriority w:val="0"/>
    <w:rPr>
      <w:color w:val="7D9029"/>
    </w:rPr>
  </w:style>
  <w:style w:type="character" w:customStyle="1" w:styleId="80">
    <w:name w:val="RegionMarkerTok"/>
    <w:basedOn w:val="51"/>
    <w:qFormat/>
    <w:uiPriority w:val="0"/>
  </w:style>
  <w:style w:type="character" w:customStyle="1" w:styleId="81">
    <w:name w:val="InformationTok"/>
    <w:basedOn w:val="51"/>
    <w:qFormat/>
    <w:uiPriority w:val="0"/>
    <w:rPr>
      <w:b/>
      <w:i/>
      <w:color w:val="60A0B0"/>
    </w:rPr>
  </w:style>
  <w:style w:type="character" w:customStyle="1" w:styleId="82">
    <w:name w:val="WarningTok"/>
    <w:basedOn w:val="51"/>
    <w:qFormat/>
    <w:uiPriority w:val="0"/>
    <w:rPr>
      <w:b/>
      <w:i/>
      <w:color w:val="60A0B0"/>
    </w:rPr>
  </w:style>
  <w:style w:type="character" w:customStyle="1" w:styleId="83">
    <w:name w:val="AlertTok"/>
    <w:basedOn w:val="51"/>
    <w:qFormat/>
    <w:uiPriority w:val="0"/>
    <w:rPr>
      <w:b/>
      <w:color w:val="FF0000"/>
    </w:rPr>
  </w:style>
  <w:style w:type="character" w:customStyle="1" w:styleId="84">
    <w:name w:val="ErrorTok"/>
    <w:basedOn w:val="51"/>
    <w:qFormat/>
    <w:uiPriority w:val="0"/>
    <w:rPr>
      <w:b/>
      <w:color w:val="FF0000"/>
    </w:rPr>
  </w:style>
  <w:style w:type="character" w:customStyle="1" w:styleId="85">
    <w:name w:val="NormalTok"/>
    <w:basedOn w:val="5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83</Words>
  <Characters>475</Characters>
  <Lines>12</Lines>
  <Paragraphs>8</Paragraphs>
  <TotalTime>0</TotalTime>
  <ScaleCrop>false</ScaleCrop>
  <LinksUpToDate>false</LinksUpToDate>
  <CharactersWithSpaces>583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2026-07-08T05:21:00Z</dcterms:created>
  <dc:creator>AI自强大叔</dc:creator>
  <cp:lastModifiedBy>AI自强大叔</cp:lastModifiedBy>
  <dcterms:modified xsi:type="dcterms:W3CDTF">2026-07-08T05:21:12Z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目录</vt:lpwstr>
  </property>
  <property fmtid="{D5CDD505-2E9C-101B-9397-08002B2CF9AE}" pid="3" name="KSOProductBuildVer">
    <vt:lpwstr>2052-12.1.0.26895</vt:lpwstr>
  </property>
  <property fmtid="{D5CDD505-2E9C-101B-9397-08002B2CF9AE}" pid="4" name="ICV">
    <vt:lpwstr>4C2E27B0DB964A5994BB5F975F9B5010_12</vt:lpwstr>
  </property>
</Properties>
</file>