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47480822"/>
        <w:docPartObj>
          <w:docPartGallery w:val="Table of Contents"/>
          <w:docPartUnique/>
        </w:docPartObj>
      </w:sdtPr>
      <w:sdtContent>
        <w:p w14:paraId="373CD480">
          <w:pPr>
            <w:pStyle w:val="54"/>
          </w:pPr>
          <w:bookmarkStart w:id="38" w:name="_GoBack"/>
          <w:bookmarkEnd w:id="38"/>
          <w:r>
            <w:rPr>
              <w:rFonts w:hint="eastAsia"/>
            </w:rPr>
            <w:t>目录</w:t>
          </w:r>
        </w:p>
        <w:p w14:paraId="34D73670">
          <w:pPr>
            <w:pStyle w:val="17"/>
            <w:tabs>
              <w:tab w:val="right" w:leader="dot" w:pos="8640"/>
            </w:tabs>
          </w:pPr>
          <w:r>
            <w:fldChar w:fldCharType="begin"/>
          </w:r>
          <w:r>
            <w:instrText xml:space="preserve">TOC \o "1-3" \h \z \u</w:instrText>
          </w:r>
          <w:r>
            <w:fldChar w:fldCharType="separate"/>
          </w:r>
          <w:r>
            <w:fldChar w:fldCharType="begin"/>
          </w:r>
          <w:r>
            <w:instrText xml:space="preserve"> HYPERLINK \l _Toc12548 </w:instrText>
          </w:r>
          <w:r>
            <w:fldChar w:fldCharType="separate"/>
          </w:r>
          <w:r>
            <w:rPr>
              <w:rFonts w:hint="eastAsia"/>
            </w:rPr>
            <w:t>外接和程序化交易管理</w:t>
          </w:r>
          <w:r>
            <w:tab/>
          </w:r>
          <w:r>
            <w:fldChar w:fldCharType="begin"/>
          </w:r>
          <w:r>
            <w:instrText xml:space="preserve"> PAGEREF _Toc12548 \h </w:instrText>
          </w:r>
          <w:r>
            <w:fldChar w:fldCharType="separate"/>
          </w:r>
          <w:r>
            <w:t>1</w:t>
          </w:r>
          <w:r>
            <w:fldChar w:fldCharType="end"/>
          </w:r>
          <w:r>
            <w:fldChar w:fldCharType="end"/>
          </w:r>
        </w:p>
        <w:p w14:paraId="3CDC5F65">
          <w:pPr>
            <w:pStyle w:val="20"/>
            <w:tabs>
              <w:tab w:val="right" w:leader="dot" w:pos="8640"/>
            </w:tabs>
          </w:pPr>
          <w:r>
            <w:fldChar w:fldCharType="begin"/>
          </w:r>
          <w:r>
            <w:instrText xml:space="preserve"> HYPERLINK \l _Toc16791 </w:instrText>
          </w:r>
          <w:r>
            <w:fldChar w:fldCharType="separate"/>
          </w:r>
          <w:r>
            <w:rPr>
              <w:rFonts w:hint="eastAsia"/>
            </w:rPr>
            <w:t>0、前言</w:t>
          </w:r>
          <w:r>
            <w:tab/>
          </w:r>
          <w:r>
            <w:fldChar w:fldCharType="begin"/>
          </w:r>
          <w:r>
            <w:instrText xml:space="preserve"> PAGEREF _Toc16791 \h </w:instrText>
          </w:r>
          <w:r>
            <w:fldChar w:fldCharType="separate"/>
          </w:r>
          <w:r>
            <w:t>2</w:t>
          </w:r>
          <w:r>
            <w:fldChar w:fldCharType="end"/>
          </w:r>
          <w:r>
            <w:fldChar w:fldCharType="end"/>
          </w:r>
        </w:p>
        <w:p w14:paraId="53C85A8B">
          <w:pPr>
            <w:pStyle w:val="14"/>
            <w:tabs>
              <w:tab w:val="right" w:leader="dot" w:pos="8640"/>
            </w:tabs>
          </w:pPr>
          <w:r>
            <w:fldChar w:fldCharType="begin"/>
          </w:r>
          <w:r>
            <w:instrText xml:space="preserve"> HYPERLINK \l _Toc9562 </w:instrText>
          </w:r>
          <w:r>
            <w:fldChar w:fldCharType="separate"/>
          </w:r>
          <w:r>
            <w:rPr>
              <w:rFonts w:hint="eastAsia"/>
            </w:rPr>
            <w:t>0.1、使用前准备工作</w:t>
          </w:r>
          <w:r>
            <w:tab/>
          </w:r>
          <w:r>
            <w:fldChar w:fldCharType="begin"/>
          </w:r>
          <w:r>
            <w:instrText xml:space="preserve"> PAGEREF _Toc9562 \h </w:instrText>
          </w:r>
          <w:r>
            <w:fldChar w:fldCharType="separate"/>
          </w:r>
          <w:r>
            <w:t>2</w:t>
          </w:r>
          <w:r>
            <w:fldChar w:fldCharType="end"/>
          </w:r>
          <w:r>
            <w:fldChar w:fldCharType="end"/>
          </w:r>
        </w:p>
        <w:p w14:paraId="7FDEEE13">
          <w:pPr>
            <w:pStyle w:val="14"/>
            <w:tabs>
              <w:tab w:val="right" w:leader="dot" w:pos="8640"/>
            </w:tabs>
          </w:pPr>
          <w:r>
            <w:fldChar w:fldCharType="begin"/>
          </w:r>
          <w:r>
            <w:instrText xml:space="preserve"> HYPERLINK \l _Toc32716 </w:instrText>
          </w:r>
          <w:r>
            <w:fldChar w:fldCharType="separate"/>
          </w:r>
          <w:r>
            <w:rPr>
              <w:rFonts w:hint="eastAsia"/>
            </w:rPr>
            <w:t>0.2、手册范围与版本说明</w:t>
          </w:r>
          <w:r>
            <w:tab/>
          </w:r>
          <w:r>
            <w:fldChar w:fldCharType="begin"/>
          </w:r>
          <w:r>
            <w:instrText xml:space="preserve"> PAGEREF _Toc32716 \h </w:instrText>
          </w:r>
          <w:r>
            <w:fldChar w:fldCharType="separate"/>
          </w:r>
          <w:r>
            <w:t>2</w:t>
          </w:r>
          <w:r>
            <w:fldChar w:fldCharType="end"/>
          </w:r>
          <w:r>
            <w:fldChar w:fldCharType="end"/>
          </w:r>
        </w:p>
        <w:p w14:paraId="6A80EEB5">
          <w:pPr>
            <w:pStyle w:val="20"/>
            <w:tabs>
              <w:tab w:val="right" w:leader="dot" w:pos="8640"/>
            </w:tabs>
          </w:pPr>
          <w:r>
            <w:fldChar w:fldCharType="begin"/>
          </w:r>
          <w:r>
            <w:instrText xml:space="preserve"> HYPERLINK \l _Toc19633 </w:instrText>
          </w:r>
          <w:r>
            <w:fldChar w:fldCharType="separate"/>
          </w:r>
          <w:r>
            <w:rPr>
              <w:rFonts w:hint="eastAsia"/>
            </w:rPr>
            <w:t>1、信息要素管理</w:t>
          </w:r>
          <w:r>
            <w:tab/>
          </w:r>
          <w:r>
            <w:fldChar w:fldCharType="begin"/>
          </w:r>
          <w:r>
            <w:instrText xml:space="preserve"> PAGEREF _Toc19633 \h </w:instrText>
          </w:r>
          <w:r>
            <w:fldChar w:fldCharType="separate"/>
          </w:r>
          <w:r>
            <w:t>2</w:t>
          </w:r>
          <w:r>
            <w:fldChar w:fldCharType="end"/>
          </w:r>
          <w:r>
            <w:fldChar w:fldCharType="end"/>
          </w:r>
        </w:p>
        <w:p w14:paraId="7FC5776D">
          <w:pPr>
            <w:pStyle w:val="14"/>
            <w:tabs>
              <w:tab w:val="right" w:leader="dot" w:pos="8640"/>
            </w:tabs>
          </w:pPr>
          <w:r>
            <w:fldChar w:fldCharType="begin"/>
          </w:r>
          <w:r>
            <w:instrText xml:space="preserve"> HYPERLINK \l _Toc18691 </w:instrText>
          </w:r>
          <w:r>
            <w:fldChar w:fldCharType="separate"/>
          </w:r>
          <w:r>
            <w:rPr>
              <w:rFonts w:hint="eastAsia"/>
            </w:rPr>
            <w:t>1.1、软件信息</w:t>
          </w:r>
          <w:r>
            <w:tab/>
          </w:r>
          <w:r>
            <w:fldChar w:fldCharType="begin"/>
          </w:r>
          <w:r>
            <w:instrText xml:space="preserve"> PAGEREF _Toc18691 \h </w:instrText>
          </w:r>
          <w:r>
            <w:fldChar w:fldCharType="separate"/>
          </w:r>
          <w:r>
            <w:t>2</w:t>
          </w:r>
          <w:r>
            <w:fldChar w:fldCharType="end"/>
          </w:r>
          <w:r>
            <w:fldChar w:fldCharType="end"/>
          </w:r>
        </w:p>
        <w:p w14:paraId="12AD531C">
          <w:pPr>
            <w:pStyle w:val="14"/>
            <w:tabs>
              <w:tab w:val="right" w:leader="dot" w:pos="8640"/>
            </w:tabs>
          </w:pPr>
          <w:r>
            <w:fldChar w:fldCharType="begin"/>
          </w:r>
          <w:r>
            <w:instrText xml:space="preserve"> HYPERLINK \l _Toc1019 </w:instrText>
          </w:r>
          <w:r>
            <w:fldChar w:fldCharType="separate"/>
          </w:r>
          <w:r>
            <w:rPr>
              <w:rFonts w:hint="eastAsia"/>
            </w:rPr>
            <w:t>1.2、客户信息</w:t>
          </w:r>
          <w:r>
            <w:tab/>
          </w:r>
          <w:r>
            <w:fldChar w:fldCharType="begin"/>
          </w:r>
          <w:r>
            <w:instrText xml:space="preserve"> PAGEREF _Toc1019 \h </w:instrText>
          </w:r>
          <w:r>
            <w:fldChar w:fldCharType="separate"/>
          </w:r>
          <w:r>
            <w:t>7</w:t>
          </w:r>
          <w:r>
            <w:fldChar w:fldCharType="end"/>
          </w:r>
          <w:r>
            <w:fldChar w:fldCharType="end"/>
          </w:r>
        </w:p>
        <w:p w14:paraId="38F7269C">
          <w:pPr>
            <w:pStyle w:val="14"/>
            <w:tabs>
              <w:tab w:val="right" w:leader="dot" w:pos="8640"/>
            </w:tabs>
          </w:pPr>
          <w:r>
            <w:fldChar w:fldCharType="begin"/>
          </w:r>
          <w:r>
            <w:instrText xml:space="preserve"> HYPERLINK \l _Toc30847 </w:instrText>
          </w:r>
          <w:r>
            <w:fldChar w:fldCharType="separate"/>
          </w:r>
          <w:r>
            <w:rPr>
              <w:rFonts w:hint="eastAsia"/>
            </w:rPr>
            <w:t>1.3、实控关系维护</w:t>
          </w:r>
          <w:r>
            <w:tab/>
          </w:r>
          <w:r>
            <w:fldChar w:fldCharType="begin"/>
          </w:r>
          <w:r>
            <w:instrText xml:space="preserve"> PAGEREF _Toc30847 \h </w:instrText>
          </w:r>
          <w:r>
            <w:fldChar w:fldCharType="separate"/>
          </w:r>
          <w:r>
            <w:t>19</w:t>
          </w:r>
          <w:r>
            <w:fldChar w:fldCharType="end"/>
          </w:r>
          <w:r>
            <w:fldChar w:fldCharType="end"/>
          </w:r>
        </w:p>
        <w:p w14:paraId="500F651F">
          <w:pPr>
            <w:pStyle w:val="20"/>
            <w:tabs>
              <w:tab w:val="right" w:leader="dot" w:pos="8640"/>
            </w:tabs>
          </w:pPr>
          <w:r>
            <w:fldChar w:fldCharType="begin"/>
          </w:r>
          <w:r>
            <w:instrText xml:space="preserve"> HYPERLINK \l _Toc19226 </w:instrText>
          </w:r>
          <w:r>
            <w:fldChar w:fldCharType="separate"/>
          </w:r>
          <w:r>
            <w:rPr>
              <w:rFonts w:hint="eastAsia"/>
            </w:rPr>
            <w:t>2、外接客户信息变更监控</w:t>
          </w:r>
          <w:r>
            <w:tab/>
          </w:r>
          <w:r>
            <w:fldChar w:fldCharType="begin"/>
          </w:r>
          <w:r>
            <w:instrText xml:space="preserve"> PAGEREF _Toc19226 \h </w:instrText>
          </w:r>
          <w:r>
            <w:fldChar w:fldCharType="separate"/>
          </w:r>
          <w:r>
            <w:t>20</w:t>
          </w:r>
          <w:r>
            <w:fldChar w:fldCharType="end"/>
          </w:r>
          <w:r>
            <w:fldChar w:fldCharType="end"/>
          </w:r>
        </w:p>
        <w:p w14:paraId="19F2C9AE">
          <w:pPr>
            <w:pStyle w:val="20"/>
            <w:tabs>
              <w:tab w:val="right" w:leader="dot" w:pos="8640"/>
            </w:tabs>
          </w:pPr>
          <w:r>
            <w:fldChar w:fldCharType="begin"/>
          </w:r>
          <w:r>
            <w:instrText xml:space="preserve"> HYPERLINK \l _Toc8577 </w:instrText>
          </w:r>
          <w:r>
            <w:fldChar w:fldCharType="separate"/>
          </w:r>
          <w:r>
            <w:rPr>
              <w:rFonts w:hint="eastAsia"/>
            </w:rPr>
            <w:t>3、程序化交易行为筛查（双十）</w:t>
          </w:r>
          <w:r>
            <w:tab/>
          </w:r>
          <w:r>
            <w:fldChar w:fldCharType="begin"/>
          </w:r>
          <w:r>
            <w:instrText xml:space="preserve"> PAGEREF _Toc8577 \h </w:instrText>
          </w:r>
          <w:r>
            <w:fldChar w:fldCharType="separate"/>
          </w:r>
          <w:r>
            <w:t>21</w:t>
          </w:r>
          <w:r>
            <w:fldChar w:fldCharType="end"/>
          </w:r>
          <w:r>
            <w:fldChar w:fldCharType="end"/>
          </w:r>
        </w:p>
        <w:p w14:paraId="30C31C17">
          <w:pPr>
            <w:pStyle w:val="20"/>
            <w:tabs>
              <w:tab w:val="right" w:leader="dot" w:pos="8640"/>
            </w:tabs>
          </w:pPr>
          <w:r>
            <w:fldChar w:fldCharType="begin"/>
          </w:r>
          <w:r>
            <w:instrText xml:space="preserve"> HYPERLINK \l _Toc22421 </w:instrText>
          </w:r>
          <w:r>
            <w:fldChar w:fldCharType="separate"/>
          </w:r>
          <w:r>
            <w:rPr>
              <w:rFonts w:hint="eastAsia"/>
            </w:rPr>
            <w:t>4、外接异常行为监控</w:t>
          </w:r>
          <w:r>
            <w:tab/>
          </w:r>
          <w:r>
            <w:fldChar w:fldCharType="begin"/>
          </w:r>
          <w:r>
            <w:instrText xml:space="preserve"> PAGEREF _Toc22421 \h </w:instrText>
          </w:r>
          <w:r>
            <w:fldChar w:fldCharType="separate"/>
          </w:r>
          <w:r>
            <w:t>22</w:t>
          </w:r>
          <w:r>
            <w:fldChar w:fldCharType="end"/>
          </w:r>
          <w:r>
            <w:fldChar w:fldCharType="end"/>
          </w:r>
        </w:p>
        <w:p w14:paraId="065BBD97">
          <w:pPr>
            <w:pStyle w:val="14"/>
            <w:tabs>
              <w:tab w:val="right" w:leader="dot" w:pos="8640"/>
            </w:tabs>
          </w:pPr>
          <w:r>
            <w:fldChar w:fldCharType="begin"/>
          </w:r>
          <w:r>
            <w:instrText xml:space="preserve"> HYPERLINK \l _Toc23985 </w:instrText>
          </w:r>
          <w:r>
            <w:fldChar w:fldCharType="separate"/>
          </w:r>
          <w:r>
            <w:rPr>
              <w:rFonts w:hint="eastAsia"/>
            </w:rPr>
            <w:t>4.1、筛查规则管理</w:t>
          </w:r>
          <w:r>
            <w:tab/>
          </w:r>
          <w:r>
            <w:fldChar w:fldCharType="begin"/>
          </w:r>
          <w:r>
            <w:instrText xml:space="preserve"> PAGEREF _Toc23985 \h </w:instrText>
          </w:r>
          <w:r>
            <w:fldChar w:fldCharType="separate"/>
          </w:r>
          <w:r>
            <w:t>22</w:t>
          </w:r>
          <w:r>
            <w:fldChar w:fldCharType="end"/>
          </w:r>
          <w:r>
            <w:fldChar w:fldCharType="end"/>
          </w:r>
        </w:p>
        <w:p w14:paraId="66335814">
          <w:pPr>
            <w:pStyle w:val="14"/>
            <w:tabs>
              <w:tab w:val="right" w:leader="dot" w:pos="8640"/>
            </w:tabs>
          </w:pPr>
          <w:r>
            <w:fldChar w:fldCharType="begin"/>
          </w:r>
          <w:r>
            <w:instrText xml:space="preserve"> HYPERLINK \l _Toc5567 </w:instrText>
          </w:r>
          <w:r>
            <w:fldChar w:fldCharType="separate"/>
          </w:r>
          <w:r>
            <w:rPr>
              <w:rFonts w:hint="eastAsia"/>
            </w:rPr>
            <w:t>4.2、自动化任务管理</w:t>
          </w:r>
          <w:r>
            <w:tab/>
          </w:r>
          <w:r>
            <w:fldChar w:fldCharType="begin"/>
          </w:r>
          <w:r>
            <w:instrText xml:space="preserve"> PAGEREF _Toc5567 \h </w:instrText>
          </w:r>
          <w:r>
            <w:fldChar w:fldCharType="separate"/>
          </w:r>
          <w:r>
            <w:t>23</w:t>
          </w:r>
          <w:r>
            <w:fldChar w:fldCharType="end"/>
          </w:r>
          <w:r>
            <w:fldChar w:fldCharType="end"/>
          </w:r>
        </w:p>
        <w:p w14:paraId="2E47C58A">
          <w:pPr>
            <w:pStyle w:val="14"/>
            <w:tabs>
              <w:tab w:val="right" w:leader="dot" w:pos="8640"/>
            </w:tabs>
          </w:pPr>
          <w:r>
            <w:fldChar w:fldCharType="begin"/>
          </w:r>
          <w:r>
            <w:instrText xml:space="preserve"> HYPERLINK \l _Toc1057 </w:instrText>
          </w:r>
          <w:r>
            <w:fldChar w:fldCharType="separate"/>
          </w:r>
          <w:r>
            <w:rPr>
              <w:rFonts w:hint="eastAsia"/>
            </w:rPr>
            <w:t>4.3、外接异常行为手动筛查</w:t>
          </w:r>
          <w:r>
            <w:tab/>
          </w:r>
          <w:r>
            <w:fldChar w:fldCharType="begin"/>
          </w:r>
          <w:r>
            <w:instrText xml:space="preserve"> PAGEREF _Toc1057 \h </w:instrText>
          </w:r>
          <w:r>
            <w:fldChar w:fldCharType="separate"/>
          </w:r>
          <w:r>
            <w:t>24</w:t>
          </w:r>
          <w:r>
            <w:fldChar w:fldCharType="end"/>
          </w:r>
          <w:r>
            <w:fldChar w:fldCharType="end"/>
          </w:r>
        </w:p>
        <w:p w14:paraId="405F63E1">
          <w:pPr>
            <w:pStyle w:val="14"/>
            <w:tabs>
              <w:tab w:val="right" w:leader="dot" w:pos="8640"/>
            </w:tabs>
          </w:pPr>
          <w:r>
            <w:fldChar w:fldCharType="begin"/>
          </w:r>
          <w:r>
            <w:instrText xml:space="preserve"> HYPERLINK \l _Toc21579 </w:instrText>
          </w:r>
          <w:r>
            <w:fldChar w:fldCharType="separate"/>
          </w:r>
          <w:r>
            <w:rPr>
              <w:rFonts w:hint="eastAsia"/>
            </w:rPr>
            <w:t>4.4、外接异常行为记录</w:t>
          </w:r>
          <w:r>
            <w:tab/>
          </w:r>
          <w:r>
            <w:fldChar w:fldCharType="begin"/>
          </w:r>
          <w:r>
            <w:instrText xml:space="preserve"> PAGEREF _Toc21579 \h </w:instrText>
          </w:r>
          <w:r>
            <w:fldChar w:fldCharType="separate"/>
          </w:r>
          <w:r>
            <w:t>28</w:t>
          </w:r>
          <w:r>
            <w:fldChar w:fldCharType="end"/>
          </w:r>
          <w:r>
            <w:fldChar w:fldCharType="end"/>
          </w:r>
        </w:p>
        <w:p w14:paraId="1982B16A">
          <w:pPr>
            <w:pStyle w:val="14"/>
            <w:tabs>
              <w:tab w:val="right" w:leader="dot" w:pos="8640"/>
            </w:tabs>
          </w:pPr>
          <w:r>
            <w:fldChar w:fldCharType="begin"/>
          </w:r>
          <w:r>
            <w:instrText xml:space="preserve"> HYPERLINK \l _Toc13583 </w:instrText>
          </w:r>
          <w:r>
            <w:fldChar w:fldCharType="separate"/>
          </w:r>
          <w:r>
            <w:rPr>
              <w:rFonts w:hint="eastAsia"/>
            </w:rPr>
            <w:t>4.5、外接客户回访</w:t>
          </w:r>
          <w:r>
            <w:tab/>
          </w:r>
          <w:r>
            <w:fldChar w:fldCharType="begin"/>
          </w:r>
          <w:r>
            <w:instrText xml:space="preserve"> PAGEREF _Toc13583 \h </w:instrText>
          </w:r>
          <w:r>
            <w:fldChar w:fldCharType="separate"/>
          </w:r>
          <w:r>
            <w:t>29</w:t>
          </w:r>
          <w:r>
            <w:fldChar w:fldCharType="end"/>
          </w:r>
          <w:r>
            <w:fldChar w:fldCharType="end"/>
          </w:r>
        </w:p>
        <w:p w14:paraId="06166C05">
          <w:r>
            <w:fldChar w:fldCharType="end"/>
          </w:r>
        </w:p>
      </w:sdtContent>
    </w:sdt>
    <w:p w14:paraId="3C485C4A">
      <w:pPr>
        <w:pStyle w:val="2"/>
      </w:pPr>
      <w:bookmarkStart w:id="0" w:name="_Toc12548"/>
      <w:bookmarkStart w:id="1" w:name="外接和程序化交易管理"/>
      <w:r>
        <w:rPr>
          <w:rFonts w:hint="eastAsia"/>
        </w:rPr>
        <w:t>外接和程序化交易管理</w:t>
      </w:r>
      <w:bookmarkEnd w:id="0"/>
    </w:p>
    <w:p w14:paraId="68B787FE">
      <w:pPr>
        <w:pStyle w:val="26"/>
      </w:pPr>
      <w:r>
        <w:rPr>
          <w:rFonts w:hint="eastAsia"/>
        </w:rPr>
        <w:t>本模块主要基于《期货公司接入外部信息系统管理规则》、《程序化交易管理办法》，对外部信息系统与程序化交易一体化管理进行详细的配置和操作说明。</w:t>
      </w:r>
    </w:p>
    <w:p w14:paraId="5C047136">
      <w:pPr>
        <w:pStyle w:val="4"/>
      </w:pPr>
      <w:bookmarkStart w:id="2" w:name="_Toc16791"/>
      <w:bookmarkStart w:id="3" w:name="前言"/>
      <w:r>
        <w:rPr>
          <w:rFonts w:hint="eastAsia"/>
        </w:rPr>
        <w:t>0、前言</w:t>
      </w:r>
      <w:bookmarkEnd w:id="2"/>
    </w:p>
    <w:p w14:paraId="6E0EFF18">
      <w:pPr>
        <w:pStyle w:val="5"/>
      </w:pPr>
      <w:bookmarkStart w:id="4" w:name="_Toc9562"/>
      <w:bookmarkStart w:id="5" w:name="使用前准备工作"/>
      <w:r>
        <w:rPr>
          <w:rFonts w:hint="eastAsia"/>
        </w:rPr>
        <w:t>0.1、使用前准备工作</w:t>
      </w:r>
      <w:bookmarkEnd w:id="4"/>
    </w:p>
    <w:p w14:paraId="51D38046">
      <w:pPr>
        <w:pStyle w:val="26"/>
      </w:pPr>
      <w:r>
        <w:rPr>
          <w:rFonts w:hint="eastAsia"/>
        </w:rPr>
        <w:t>在开始操作前，请根据您的角色确认以下准备工作：</w:t>
      </w:r>
    </w:p>
    <w:p w14:paraId="4A6AF5D7">
      <w:pPr>
        <w:pStyle w:val="3"/>
      </w:pPr>
      <w:r>
        <w:rPr>
          <w:rFonts w:hint="eastAsia"/>
          <w:b/>
          <w:bCs/>
        </w:rPr>
        <w:t>账号与权限：</w:t>
      </w:r>
    </w:p>
    <w:p w14:paraId="718B7C39">
      <w:pPr>
        <w:pStyle w:val="27"/>
        <w:numPr>
          <w:ilvl w:val="0"/>
          <w:numId w:val="1"/>
        </w:numPr>
      </w:pPr>
      <w:r>
        <w:rPr>
          <w:rFonts w:hint="eastAsia"/>
        </w:rPr>
        <w:t>确认您已拥有系统的登录账号。</w:t>
      </w:r>
    </w:p>
    <w:p w14:paraId="6BA62114">
      <w:pPr>
        <w:pStyle w:val="27"/>
        <w:numPr>
          <w:ilvl w:val="0"/>
          <w:numId w:val="1"/>
        </w:numPr>
      </w:pPr>
      <w:r>
        <w:rPr>
          <w:rFonts w:hint="eastAsia"/>
        </w:rPr>
        <w:t>确认您的账号已被授予”外接和程序化管理”模块下相应菜单的</w:t>
      </w:r>
      <w:r>
        <w:rPr>
          <w:rFonts w:hint="eastAsia"/>
          <w:b/>
          <w:bCs/>
        </w:rPr>
        <w:t>访问</w:t>
      </w:r>
      <w:r>
        <w:rPr>
          <w:rFonts w:hint="eastAsia"/>
        </w:rPr>
        <w:t>权限。权限不足可能导致页面不可见。</w:t>
      </w:r>
    </w:p>
    <w:p w14:paraId="7E5028D3">
      <w:pPr>
        <w:pStyle w:val="26"/>
      </w:pPr>
      <w:r>
        <w:rPr>
          <w:rFonts w:hint="eastAsia"/>
          <w:b/>
          <w:bCs/>
        </w:rPr>
        <w:t>基础数据准备：</w:t>
      </w:r>
    </w:p>
    <w:p w14:paraId="01CBDCDB">
      <w:pPr>
        <w:pStyle w:val="27"/>
        <w:numPr>
          <w:ilvl w:val="0"/>
          <w:numId w:val="1"/>
        </w:numPr>
      </w:pPr>
      <w:r>
        <w:rPr>
          <w:rFonts w:hint="eastAsia"/>
          <w:b/>
          <w:bCs/>
        </w:rPr>
        <w:t>对于业务办理人员：</w:t>
      </w:r>
      <w:r>
        <w:t xml:space="preserve"> </w:t>
      </w:r>
      <w:r>
        <w:rPr>
          <w:rFonts w:hint="eastAsia"/>
        </w:rPr>
        <w:t>在登记”外接非程序化客户信息”或”程序化交易客户信息”之前，必须先由技术人员通过【软件信息维护】菜单，将涉及的</w:t>
      </w:r>
      <w:r>
        <w:rPr>
          <w:rFonts w:hint="eastAsia"/>
          <w:b/>
          <w:bCs/>
        </w:rPr>
        <w:t>软件信息</w:t>
      </w:r>
      <w:r>
        <w:rPr>
          <w:rFonts w:hint="eastAsia"/>
        </w:rPr>
        <w:t>维护进系统。否则，您在登记客户信息时将无法选择到正确的软件。</w:t>
      </w:r>
    </w:p>
    <w:p w14:paraId="612CC702">
      <w:pPr>
        <w:pStyle w:val="27"/>
        <w:numPr>
          <w:ilvl w:val="0"/>
          <w:numId w:val="1"/>
        </w:numPr>
      </w:pPr>
      <w:r>
        <w:rPr>
          <w:rFonts w:hint="eastAsia"/>
          <w:b/>
          <w:bCs/>
        </w:rPr>
        <w:t>对于技术部人员：</w:t>
      </w:r>
      <w:r>
        <w:t xml:space="preserve"> </w:t>
      </w:r>
      <w:r>
        <w:rPr>
          <w:rFonts w:hint="eastAsia"/>
        </w:rPr>
        <w:t>归档外接/程序化客户的申请资料前，需先在德索【影像管理模块】中创建影像参数，并完成上传控件的配置。</w:t>
      </w:r>
    </w:p>
    <w:bookmarkEnd w:id="5"/>
    <w:p w14:paraId="5A4751B0">
      <w:pPr>
        <w:pStyle w:val="5"/>
      </w:pPr>
      <w:bookmarkStart w:id="6" w:name="_Toc32716"/>
      <w:bookmarkStart w:id="7" w:name="手册范围与版本说明"/>
      <w:r>
        <w:rPr>
          <w:rFonts w:hint="eastAsia"/>
        </w:rPr>
        <w:t>0.2、手册范围与版本说明</w:t>
      </w:r>
      <w:bookmarkEnd w:id="6"/>
    </w:p>
    <w:p w14:paraId="1D93FD5F">
      <w:pPr>
        <w:pStyle w:val="26"/>
      </w:pPr>
      <w:r>
        <w:rPr>
          <w:rFonts w:hint="eastAsia"/>
        </w:rPr>
        <w:t>本手册是</w:t>
      </w:r>
      <w:r>
        <w:rPr>
          <w:rFonts w:hint="eastAsia"/>
          <w:b/>
          <w:bCs/>
        </w:rPr>
        <w:t>标准版</w:t>
      </w:r>
      <w:r>
        <w:rPr>
          <w:rFonts w:hint="eastAsia"/>
        </w:rPr>
        <w:t>的操作指南。若您使用的系统存在个性化功能，请以您所在公司的实际系统及内部说明为准。</w:t>
      </w:r>
    </w:p>
    <w:bookmarkEnd w:id="3"/>
    <w:bookmarkEnd w:id="7"/>
    <w:p w14:paraId="68FB9552">
      <w:pPr>
        <w:pStyle w:val="4"/>
      </w:pPr>
      <w:bookmarkStart w:id="8" w:name="_Toc19633"/>
      <w:bookmarkStart w:id="9" w:name="信息要素管理"/>
      <w:r>
        <w:rPr>
          <w:rFonts w:hint="eastAsia"/>
        </w:rPr>
        <w:t>1、信息要素管理</w:t>
      </w:r>
      <w:bookmarkEnd w:id="8"/>
    </w:p>
    <w:p w14:paraId="66E75AC1">
      <w:pPr>
        <w:pStyle w:val="5"/>
      </w:pPr>
      <w:bookmarkStart w:id="10" w:name="_Toc18691"/>
      <w:bookmarkStart w:id="11" w:name="软件信息"/>
      <w:r>
        <w:rPr>
          <w:rFonts w:hint="eastAsia"/>
        </w:rPr>
        <w:t>1.1、软件信息</w:t>
      </w:r>
      <w:bookmarkEnd w:id="10"/>
    </w:p>
    <w:p w14:paraId="47F51970">
      <w:pPr>
        <w:pStyle w:val="26"/>
      </w:pPr>
      <w:r>
        <w:rPr>
          <w:rFonts w:hint="eastAsia"/>
        </w:rPr>
        <w:t>用于对</w:t>
      </w:r>
      <w:r>
        <w:rPr>
          <w:rFonts w:hint="eastAsia"/>
          <w:b/>
          <w:bCs/>
        </w:rPr>
        <w:t>外接软件、程序化软件</w:t>
      </w:r>
      <w:r>
        <w:rPr>
          <w:rFonts w:hint="eastAsia"/>
        </w:rPr>
        <w:t>的</w:t>
      </w:r>
      <w:r>
        <w:rPr>
          <w:rFonts w:hint="eastAsia"/>
          <w:b/>
          <w:bCs/>
        </w:rPr>
        <w:t>规范化信息</w:t>
      </w:r>
      <w:r>
        <w:rPr>
          <w:rFonts w:hint="eastAsia"/>
        </w:rPr>
        <w:t>的统一管理，供业务人员在登记客户信息时</w:t>
      </w:r>
      <w:r>
        <w:rPr>
          <w:rFonts w:hint="eastAsia"/>
          <w:b/>
          <w:bCs/>
        </w:rPr>
        <w:t>直接选用</w:t>
      </w:r>
      <w:r>
        <w:rPr>
          <w:rFonts w:hint="eastAsia"/>
        </w:rPr>
        <w:t>，实现信息标准化与高效复用。</w:t>
      </w:r>
    </w:p>
    <w:p w14:paraId="0B5F4BE9">
      <w:pPr>
        <w:pStyle w:val="3"/>
      </w:pPr>
      <w:r>
        <w:rPr>
          <w:rFonts w:hint="eastAsia"/>
        </w:rPr>
        <w:t>系统提供以下</w:t>
      </w:r>
      <w:r>
        <w:t xml:space="preserve"> 3 </w:t>
      </w:r>
      <w:r>
        <w:rPr>
          <w:rFonts w:hint="eastAsia"/>
        </w:rPr>
        <w:t>个功能菜单：</w:t>
      </w:r>
    </w:p>
    <w:p w14:paraId="1B4D818F">
      <w:pPr>
        <w:pStyle w:val="27"/>
        <w:numPr>
          <w:ilvl w:val="0"/>
          <w:numId w:val="1"/>
        </w:numPr>
      </w:pPr>
      <w:r>
        <w:rPr>
          <w:rFonts w:hint="eastAsia"/>
          <w:b/>
          <w:bCs/>
        </w:rPr>
        <w:t>软件信息维护：</w:t>
      </w:r>
      <w:r>
        <w:t xml:space="preserve"> </w:t>
      </w:r>
      <w:r>
        <w:rPr>
          <w:rFonts w:hint="eastAsia"/>
        </w:rPr>
        <w:t>用于软件信息的</w:t>
      </w:r>
      <w:r>
        <w:rPr>
          <w:rFonts w:hint="eastAsia"/>
          <w:b/>
          <w:bCs/>
        </w:rPr>
        <w:t>增、删、改</w:t>
      </w:r>
      <w:r>
        <w:rPr>
          <w:rFonts w:hint="eastAsia"/>
        </w:rPr>
        <w:t>操作，建议菜单权限仅开放于技术部人员。</w:t>
      </w:r>
    </w:p>
    <w:p w14:paraId="57E4FC86">
      <w:pPr>
        <w:pStyle w:val="27"/>
        <w:numPr>
          <w:ilvl w:val="0"/>
          <w:numId w:val="1"/>
        </w:numPr>
      </w:pPr>
      <w:r>
        <w:rPr>
          <w:rFonts w:hint="eastAsia"/>
          <w:b/>
          <w:bCs/>
        </w:rPr>
        <w:t>软件信息审核：</w:t>
      </w:r>
      <w:r>
        <w:t xml:space="preserve"> </w:t>
      </w:r>
      <w:r>
        <w:rPr>
          <w:rFonts w:hint="eastAsia"/>
        </w:rPr>
        <w:t>对在【软件信息维护】页面中增删改的信息进行</w:t>
      </w:r>
      <w:r>
        <w:rPr>
          <w:rFonts w:hint="eastAsia"/>
          <w:b/>
          <w:bCs/>
        </w:rPr>
        <w:t>人工审核</w:t>
      </w:r>
      <w:r>
        <w:rPr>
          <w:rFonts w:hint="eastAsia"/>
        </w:rPr>
        <w:t>。审核后的数据方为有效数据。（方案默认不开启审核机制，如需开启请与德索联系）</w:t>
      </w:r>
    </w:p>
    <w:p w14:paraId="11CCA1B6">
      <w:pPr>
        <w:pStyle w:val="27"/>
        <w:numPr>
          <w:ilvl w:val="0"/>
          <w:numId w:val="1"/>
        </w:numPr>
      </w:pPr>
      <w:r>
        <w:rPr>
          <w:rFonts w:hint="eastAsia"/>
          <w:b/>
          <w:bCs/>
        </w:rPr>
        <w:t>软件信息查询：</w:t>
      </w:r>
      <w:r>
        <w:t xml:space="preserve"> </w:t>
      </w:r>
      <w:r>
        <w:rPr>
          <w:rFonts w:hint="eastAsia"/>
        </w:rPr>
        <w:t>用于</w:t>
      </w:r>
      <w:r>
        <w:rPr>
          <w:rFonts w:hint="eastAsia"/>
          <w:b/>
          <w:bCs/>
        </w:rPr>
        <w:t>查询、导出</w:t>
      </w:r>
      <w:r>
        <w:rPr>
          <w:rFonts w:hint="eastAsia"/>
        </w:rPr>
        <w:t>审核通过后的有效的外接、程序化软件信息。</w:t>
      </w:r>
    </w:p>
    <w:p w14:paraId="69552A73">
      <w:pPr>
        <w:pStyle w:val="26"/>
      </w:pPr>
      <w:r>
        <w:drawing>
          <wp:inline distT="0" distB="0" distL="114300" distR="114300">
            <wp:extent cx="2922905" cy="3313430"/>
            <wp:effectExtent l="0" t="0" r="0" b="0"/>
            <wp:docPr id="24" name="Picture" descr="软件信息模块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descr="软件信息模块菜单"/>
                    <pic:cNvPicPr>
                      <a:picLocks noChangeAspect="1" noChangeArrowheads="1"/>
                    </pic:cNvPicPr>
                  </pic:nvPicPr>
                  <pic:blipFill>
                    <a:blip r:embed="rId5"/>
                    <a:stretch>
                      <a:fillRect/>
                    </a:stretch>
                  </pic:blipFill>
                  <pic:spPr>
                    <a:xfrm>
                      <a:off x="0" y="0"/>
                      <a:ext cx="2923199" cy="3313594"/>
                    </a:xfrm>
                    <a:prstGeom prst="rect">
                      <a:avLst/>
                    </a:prstGeom>
                    <a:noFill/>
                    <a:ln w="9525">
                      <a:noFill/>
                    </a:ln>
                  </pic:spPr>
                </pic:pic>
              </a:graphicData>
            </a:graphic>
          </wp:inline>
        </w:drawing>
      </w:r>
    </w:p>
    <w:p w14:paraId="25301EFE">
      <w:pPr>
        <w:pStyle w:val="6"/>
      </w:pPr>
      <w:bookmarkStart w:id="12" w:name="软件信息维护"/>
      <w:r>
        <w:rPr>
          <w:rFonts w:hint="eastAsia"/>
        </w:rPr>
        <w:t>软件信息维护</w:t>
      </w:r>
    </w:p>
    <w:p w14:paraId="3429D835">
      <w:pPr>
        <w:pStyle w:val="26"/>
      </w:pPr>
      <w:r>
        <w:rPr>
          <w:rFonts w:hint="eastAsia"/>
          <w:b/>
          <w:bCs/>
        </w:rPr>
        <w:t>批量维护</w:t>
      </w:r>
    </w:p>
    <w:p w14:paraId="79D8D706">
      <w:pPr>
        <w:pStyle w:val="3"/>
      </w:pPr>
      <w:r>
        <w:rPr>
          <w:rFonts w:hint="eastAsia"/>
        </w:rPr>
        <w:t>支持</w:t>
      </w:r>
      <w:r>
        <w:t xml:space="preserve"> excel </w:t>
      </w:r>
      <w:r>
        <w:rPr>
          <w:rFonts w:hint="eastAsia"/>
        </w:rPr>
        <w:t>模板文件批量维护软件信息并上传到系统。（单个软件信息新增直接点击”新增”按钮即可）</w:t>
      </w:r>
    </w:p>
    <w:p w14:paraId="206401B3">
      <w:pPr>
        <w:pStyle w:val="3"/>
      </w:pPr>
      <w:r>
        <w:rPr>
          <w:rFonts w:hint="eastAsia"/>
        </w:rPr>
        <w:t>点击”下载模板”按钮，下载模板</w:t>
      </w:r>
      <w:r>
        <w:t xml:space="preserve"> excel </w:t>
      </w:r>
      <w:r>
        <w:rPr>
          <w:rFonts w:hint="eastAsia"/>
        </w:rPr>
        <w:t>文件。维护后，点击”导入”按钮，上传到系统。</w:t>
      </w:r>
    </w:p>
    <w:p w14:paraId="19BE1724">
      <w:pPr>
        <w:pStyle w:val="3"/>
      </w:pPr>
      <w:r>
        <w:drawing>
          <wp:inline distT="0" distB="0" distL="114300" distR="114300">
            <wp:extent cx="5334000" cy="1220470"/>
            <wp:effectExtent l="0" t="0" r="0" b="0"/>
            <wp:docPr id="27" name="Picture" descr="软件信息批量维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descr="软件信息批量维护"/>
                    <pic:cNvPicPr>
                      <a:picLocks noChangeAspect="1" noChangeArrowheads="1"/>
                    </pic:cNvPicPr>
                  </pic:nvPicPr>
                  <pic:blipFill>
                    <a:blip r:embed="rId6"/>
                    <a:stretch>
                      <a:fillRect/>
                    </a:stretch>
                  </pic:blipFill>
                  <pic:spPr>
                    <a:xfrm>
                      <a:off x="0" y="0"/>
                      <a:ext cx="5334000" cy="1220868"/>
                    </a:xfrm>
                    <a:prstGeom prst="rect">
                      <a:avLst/>
                    </a:prstGeom>
                    <a:noFill/>
                    <a:ln w="9525">
                      <a:noFill/>
                    </a:ln>
                  </pic:spPr>
                </pic:pic>
              </a:graphicData>
            </a:graphic>
          </wp:inline>
        </w:drawing>
      </w:r>
    </w:p>
    <w:p w14:paraId="46D9E6A3">
      <w:pPr>
        <w:pStyle w:val="3"/>
      </w:pPr>
      <w:r>
        <w:rPr>
          <w:b/>
          <w:bCs/>
        </w:rPr>
        <w:t xml:space="preserve">excel </w:t>
      </w:r>
      <w:r>
        <w:rPr>
          <w:rFonts w:hint="eastAsia"/>
          <w:b/>
          <w:bCs/>
        </w:rPr>
        <w:t>模板维护注意事项</w:t>
      </w:r>
    </w:p>
    <w:p w14:paraId="21D699E9">
      <w:pPr>
        <w:pStyle w:val="27"/>
        <w:numPr>
          <w:ilvl w:val="0"/>
          <w:numId w:val="2"/>
        </w:numPr>
      </w:pPr>
      <w:r>
        <w:t xml:space="preserve">excel </w:t>
      </w:r>
      <w:r>
        <w:rPr>
          <w:rFonts w:hint="eastAsia"/>
        </w:rPr>
        <w:t>模板中必填的信息项，因各家期货公司会有个性化调整，请参考”新增”页面中打星号的信息项。</w:t>
      </w:r>
    </w:p>
    <w:p w14:paraId="74C4CB5F">
      <w:pPr>
        <w:pStyle w:val="26"/>
      </w:pPr>
      <w:r>
        <w:drawing>
          <wp:inline distT="0" distB="0" distL="114300" distR="114300">
            <wp:extent cx="5230495" cy="2591435"/>
            <wp:effectExtent l="0" t="0" r="0" b="0"/>
            <wp:docPr id="30" name="Picture" descr="新增页面必填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descr="新增页面必填项"/>
                    <pic:cNvPicPr>
                      <a:picLocks noChangeAspect="1" noChangeArrowheads="1"/>
                    </pic:cNvPicPr>
                  </pic:nvPicPr>
                  <pic:blipFill>
                    <a:blip r:embed="rId7"/>
                    <a:stretch>
                      <a:fillRect/>
                    </a:stretch>
                  </pic:blipFill>
                  <pic:spPr>
                    <a:xfrm>
                      <a:off x="0" y="0"/>
                      <a:ext cx="5230799" cy="2591580"/>
                    </a:xfrm>
                    <a:prstGeom prst="rect">
                      <a:avLst/>
                    </a:prstGeom>
                    <a:noFill/>
                    <a:ln w="9525">
                      <a:noFill/>
                    </a:ln>
                  </pic:spPr>
                </pic:pic>
              </a:graphicData>
            </a:graphic>
          </wp:inline>
        </w:drawing>
      </w:r>
    </w:p>
    <w:p w14:paraId="0B1F5898">
      <w:pPr>
        <w:pStyle w:val="3"/>
      </w:pPr>
      <w:r>
        <w:drawing>
          <wp:inline distT="0" distB="0" distL="114300" distR="114300">
            <wp:extent cx="5334000" cy="5084445"/>
            <wp:effectExtent l="0" t="0" r="0" b="0"/>
            <wp:docPr id="33" name="Picture" descr="信息项详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descr="信息项详情"/>
                    <pic:cNvPicPr>
                      <a:picLocks noChangeAspect="1" noChangeArrowheads="1"/>
                    </pic:cNvPicPr>
                  </pic:nvPicPr>
                  <pic:blipFill>
                    <a:blip r:embed="rId8"/>
                    <a:stretch>
                      <a:fillRect/>
                    </a:stretch>
                  </pic:blipFill>
                  <pic:spPr>
                    <a:xfrm>
                      <a:off x="0" y="0"/>
                      <a:ext cx="5334000" cy="5084972"/>
                    </a:xfrm>
                    <a:prstGeom prst="rect">
                      <a:avLst/>
                    </a:prstGeom>
                    <a:noFill/>
                    <a:ln w="9525">
                      <a:noFill/>
                    </a:ln>
                  </pic:spPr>
                </pic:pic>
              </a:graphicData>
            </a:graphic>
          </wp:inline>
        </w:drawing>
      </w:r>
    </w:p>
    <w:p w14:paraId="6D2BC8FF">
      <w:pPr>
        <w:pStyle w:val="27"/>
        <w:numPr>
          <w:ilvl w:val="0"/>
          <w:numId w:val="3"/>
        </w:numPr>
      </w:pPr>
      <w:r>
        <w:rPr>
          <w:rFonts w:hint="eastAsia"/>
        </w:rPr>
        <w:t>请根据</w:t>
      </w:r>
      <w:r>
        <w:t xml:space="preserve"> excel </w:t>
      </w:r>
      <w:r>
        <w:rPr>
          <w:rFonts w:hint="eastAsia"/>
        </w:rPr>
        <w:t>模板中”码表”sheet</w:t>
      </w:r>
      <w:r>
        <w:t xml:space="preserve"> </w:t>
      </w:r>
      <w:r>
        <w:rPr>
          <w:rFonts w:hint="eastAsia"/>
        </w:rPr>
        <w:t>页所提供的</w:t>
      </w:r>
      <w:r>
        <w:rPr>
          <w:rFonts w:hint="eastAsia"/>
          <w:b/>
          <w:bCs/>
        </w:rPr>
        <w:t>代码</w:t>
      </w:r>
      <w:r>
        <w:rPr>
          <w:rFonts w:hint="eastAsia"/>
        </w:rPr>
        <w:t>填写。（不可直接填写中文码值）</w:t>
      </w:r>
    </w:p>
    <w:p w14:paraId="35147A39">
      <w:pPr>
        <w:pStyle w:val="26"/>
      </w:pPr>
      <w:r>
        <w:drawing>
          <wp:inline distT="0" distB="0" distL="114300" distR="114300">
            <wp:extent cx="5334000" cy="2628900"/>
            <wp:effectExtent l="0" t="0" r="0" b="0"/>
            <wp:docPr id="36" name="Picture" descr="码表 sheet 示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descr="码表 sheet 示意"/>
                    <pic:cNvPicPr>
                      <a:picLocks noChangeAspect="1" noChangeArrowheads="1"/>
                    </pic:cNvPicPr>
                  </pic:nvPicPr>
                  <pic:blipFill>
                    <a:blip r:embed="rId9"/>
                    <a:stretch>
                      <a:fillRect/>
                    </a:stretch>
                  </pic:blipFill>
                  <pic:spPr>
                    <a:xfrm>
                      <a:off x="0" y="0"/>
                      <a:ext cx="5334000" cy="2629348"/>
                    </a:xfrm>
                    <a:prstGeom prst="rect">
                      <a:avLst/>
                    </a:prstGeom>
                    <a:noFill/>
                    <a:ln w="9525">
                      <a:noFill/>
                    </a:ln>
                  </pic:spPr>
                </pic:pic>
              </a:graphicData>
            </a:graphic>
          </wp:inline>
        </w:drawing>
      </w:r>
    </w:p>
    <w:p w14:paraId="76CD187C">
      <w:pPr>
        <w:pStyle w:val="3"/>
      </w:pPr>
      <w:r>
        <w:rPr>
          <w:rFonts w:hint="eastAsia"/>
          <w:b/>
          <w:bCs/>
        </w:rPr>
        <w:t>信息项特殊说明</w:t>
      </w:r>
    </w:p>
    <w:p w14:paraId="5254C20F">
      <w:pPr>
        <w:numPr>
          <w:ilvl w:val="0"/>
          <w:numId w:val="4"/>
        </w:numPr>
      </w:pPr>
      <w:r>
        <w:rPr>
          <w:b/>
          <w:bCs/>
        </w:rPr>
        <w:t>APPID</w:t>
      </w:r>
      <w:r>
        <w:t xml:space="preserve"> </w:t>
      </w:r>
      <w:r>
        <w:rPr>
          <w:rFonts w:hint="eastAsia"/>
        </w:rPr>
        <w:t>和</w:t>
      </w:r>
      <w:r>
        <w:rPr>
          <w:rFonts w:hint="eastAsia"/>
          <w:b/>
          <w:bCs/>
        </w:rPr>
        <w:t>系统名称</w:t>
      </w:r>
      <w:r>
        <w:rPr>
          <w:rFonts w:hint="eastAsia"/>
        </w:rPr>
        <w:t>：必填项，不可调整为非必填项。（其他必填项如需调整，请联系德索支持）</w:t>
      </w:r>
    </w:p>
    <w:p w14:paraId="5BF6F4ED">
      <w:pPr>
        <w:numPr>
          <w:ilvl w:val="0"/>
          <w:numId w:val="4"/>
        </w:numPr>
      </w:pPr>
      <w:r>
        <w:rPr>
          <w:rFonts w:hint="eastAsia"/>
          <w:b/>
          <w:bCs/>
        </w:rPr>
        <w:t>软件类型</w:t>
      </w:r>
      <w:r>
        <w:rPr>
          <w:rFonts w:hint="eastAsia"/>
        </w:rPr>
        <w:t>：单选，必填。该字段用于区分是否外接软件。下拉可选值有”标准客户端、标准中继、外接客户端、外接中继”。（如需调整可选值的描述，请联系德索支持）</w:t>
      </w:r>
    </w:p>
    <w:p w14:paraId="542B635F">
      <w:pPr>
        <w:numPr>
          <w:ilvl w:val="0"/>
          <w:numId w:val="5"/>
        </w:numPr>
      </w:pPr>
      <w:r>
        <w:rPr>
          <w:rFonts w:hint="eastAsia"/>
        </w:rPr>
        <w:t>其中”标准</w:t>
      </w:r>
      <w:r>
        <w:t xml:space="preserve"> </w:t>
      </w:r>
      <w:r>
        <w:rPr>
          <w:rFonts w:hint="eastAsia"/>
        </w:rPr>
        <w:t>XX”指期货公司内部购买的软件。根据各家期货公司的实际情况维护。</w:t>
      </w:r>
    </w:p>
    <w:p w14:paraId="1FC2BE0F">
      <w:pPr>
        <w:pStyle w:val="13"/>
      </w:pPr>
      <w:r>
        <w:rPr>
          <w:rFonts w:hint="eastAsia"/>
          <w:b/>
          <w:bCs/>
        </w:rPr>
        <w:t>该信息项在系统中的影响</w:t>
      </w:r>
    </w:p>
    <w:p w14:paraId="63C62B82">
      <w:pPr>
        <w:pStyle w:val="27"/>
        <w:numPr>
          <w:ilvl w:val="0"/>
          <w:numId w:val="1"/>
        </w:numPr>
      </w:pPr>
      <w:r>
        <w:rPr>
          <w:rFonts w:hint="eastAsia"/>
        </w:rPr>
        <w:t>在【外接非程序化客户信息维护】中，只支持客户绑定该信息项填写”外接客户端”或”外接中继”的软件信息。（即新增外接非程序化客户信息时会过滤掉非外接软件）</w:t>
      </w:r>
    </w:p>
    <w:p w14:paraId="776DC889">
      <w:pPr>
        <w:pStyle w:val="27"/>
        <w:numPr>
          <w:ilvl w:val="0"/>
          <w:numId w:val="1"/>
        </w:numPr>
      </w:pPr>
      <w:r>
        <w:rPr>
          <w:rFonts w:hint="eastAsia"/>
        </w:rPr>
        <w:t>在【外接异常行为监控】模块中，该字段用于判断命中异常行为的客户是否为外接客户。</w:t>
      </w:r>
    </w:p>
    <w:p w14:paraId="5F79B7BE">
      <w:pPr>
        <w:pStyle w:val="26"/>
      </w:pPr>
      <w:r>
        <w:drawing>
          <wp:inline distT="0" distB="0" distL="114300" distR="114300">
            <wp:extent cx="5334000" cy="1079500"/>
            <wp:effectExtent l="0" t="0" r="0" b="0"/>
            <wp:docPr id="39" name="Picture" descr="软件类型字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descr="软件类型字段"/>
                    <pic:cNvPicPr>
                      <a:picLocks noChangeAspect="1" noChangeArrowheads="1"/>
                    </pic:cNvPicPr>
                  </pic:nvPicPr>
                  <pic:blipFill>
                    <a:blip r:embed="rId10"/>
                    <a:stretch>
                      <a:fillRect/>
                    </a:stretch>
                  </pic:blipFill>
                  <pic:spPr>
                    <a:xfrm>
                      <a:off x="0" y="0"/>
                      <a:ext cx="5334000" cy="1079870"/>
                    </a:xfrm>
                    <a:prstGeom prst="rect">
                      <a:avLst/>
                    </a:prstGeom>
                    <a:noFill/>
                    <a:ln w="9525">
                      <a:noFill/>
                    </a:ln>
                  </pic:spPr>
                </pic:pic>
              </a:graphicData>
            </a:graphic>
          </wp:inline>
        </w:drawing>
      </w:r>
    </w:p>
    <w:p w14:paraId="3CD784CE">
      <w:pPr>
        <w:pStyle w:val="27"/>
        <w:numPr>
          <w:ilvl w:val="0"/>
          <w:numId w:val="6"/>
        </w:numPr>
      </w:pPr>
      <w:r>
        <w:rPr>
          <w:rFonts w:hint="eastAsia"/>
          <w:b/>
          <w:bCs/>
        </w:rPr>
        <w:t>是否程序化</w:t>
      </w:r>
      <w:r>
        <w:rPr>
          <w:rFonts w:hint="eastAsia"/>
        </w:rPr>
        <w:t>：必填项，该字段用于区分是否为程序化软件。</w:t>
      </w:r>
    </w:p>
    <w:p w14:paraId="0D937B85">
      <w:pPr>
        <w:pStyle w:val="13"/>
      </w:pPr>
      <w:r>
        <w:rPr>
          <w:rFonts w:hint="eastAsia"/>
          <w:b/>
          <w:bCs/>
        </w:rPr>
        <w:t>该信息项在系统中的影响</w:t>
      </w:r>
    </w:p>
    <w:p w14:paraId="26F8812F">
      <w:pPr>
        <w:pStyle w:val="27"/>
        <w:numPr>
          <w:ilvl w:val="0"/>
          <w:numId w:val="1"/>
        </w:numPr>
      </w:pPr>
      <w:r>
        <w:rPr>
          <w:rFonts w:hint="eastAsia"/>
        </w:rPr>
        <w:t>在【程序化交易客户信息维护】中，只支持客户绑定该信息项填写”是”的软件信息。（即新增程序化交易客户信息时会过滤掉非程序化软件）</w:t>
      </w:r>
    </w:p>
    <w:p w14:paraId="4D1831D7">
      <w:pPr>
        <w:pStyle w:val="27"/>
        <w:numPr>
          <w:ilvl w:val="0"/>
          <w:numId w:val="1"/>
        </w:numPr>
      </w:pPr>
      <w:r>
        <w:rPr>
          <w:rFonts w:hint="eastAsia"/>
        </w:rPr>
        <w:t>在【外接异常行为监控】模块中，该字段用于判断命中异常行为的客户是否为外接客户。</w:t>
      </w:r>
    </w:p>
    <w:p w14:paraId="1F01E644">
      <w:pPr>
        <w:pStyle w:val="26"/>
      </w:pPr>
      <w:r>
        <w:drawing>
          <wp:inline distT="0" distB="0" distL="114300" distR="114300">
            <wp:extent cx="5334000" cy="881380"/>
            <wp:effectExtent l="0" t="0" r="0" b="0"/>
            <wp:docPr id="42" name="Picture" descr="是否程序化字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descr="是否程序化字段"/>
                    <pic:cNvPicPr>
                      <a:picLocks noChangeAspect="1" noChangeArrowheads="1"/>
                    </pic:cNvPicPr>
                  </pic:nvPicPr>
                  <pic:blipFill>
                    <a:blip r:embed="rId11"/>
                    <a:stretch>
                      <a:fillRect/>
                    </a:stretch>
                  </pic:blipFill>
                  <pic:spPr>
                    <a:xfrm>
                      <a:off x="0" y="0"/>
                      <a:ext cx="5334000" cy="881600"/>
                    </a:xfrm>
                    <a:prstGeom prst="rect">
                      <a:avLst/>
                    </a:prstGeom>
                    <a:noFill/>
                    <a:ln w="9525">
                      <a:noFill/>
                    </a:ln>
                  </pic:spPr>
                </pic:pic>
              </a:graphicData>
            </a:graphic>
          </wp:inline>
        </w:drawing>
      </w:r>
    </w:p>
    <w:bookmarkEnd w:id="12"/>
    <w:p w14:paraId="44DC79B2">
      <w:pPr>
        <w:pStyle w:val="6"/>
      </w:pPr>
      <w:bookmarkStart w:id="13" w:name="软件信息审核"/>
      <w:r>
        <w:rPr>
          <w:rFonts w:hint="eastAsia"/>
        </w:rPr>
        <w:t>软件信息审核</w:t>
      </w:r>
    </w:p>
    <w:p w14:paraId="147BA077">
      <w:pPr>
        <w:pStyle w:val="26"/>
      </w:pPr>
      <w:r>
        <w:rPr>
          <w:rFonts w:hint="eastAsia"/>
        </w:rPr>
        <w:t>系统支持</w:t>
      </w:r>
      <w:r>
        <w:rPr>
          <w:rFonts w:hint="eastAsia"/>
          <w:b/>
          <w:bCs/>
        </w:rPr>
        <w:t>数据变更审核</w:t>
      </w:r>
      <w:r>
        <w:rPr>
          <w:rFonts w:hint="eastAsia"/>
        </w:rPr>
        <w:t>机制，审核通过后数据方正式生效，并同步至【软件信息查询】菜单。未经过审核后的软件无法在【客户信息】模块被引用。</w:t>
      </w:r>
    </w:p>
    <w:p w14:paraId="2DC450D7">
      <w:pPr>
        <w:pStyle w:val="13"/>
      </w:pPr>
      <w:r>
        <w:rPr>
          <w:rFonts w:hint="eastAsia"/>
          <w:b/>
          <w:bCs/>
        </w:rPr>
        <w:t>说明</w:t>
      </w:r>
    </w:p>
    <w:p w14:paraId="51DA4960">
      <w:pPr>
        <w:pStyle w:val="13"/>
      </w:pPr>
      <w:r>
        <w:rPr>
          <w:rFonts w:hint="eastAsia"/>
        </w:rPr>
        <w:t>版本部署后初始化默认不开启审核机制，如需开启请与德索联系。</w:t>
      </w:r>
    </w:p>
    <w:p w14:paraId="2C7139B1">
      <w:pPr>
        <w:pStyle w:val="26"/>
      </w:pPr>
      <w:r>
        <w:drawing>
          <wp:inline distT="0" distB="0" distL="114300" distR="114300">
            <wp:extent cx="5334000" cy="1292860"/>
            <wp:effectExtent l="0" t="0" r="0" b="0"/>
            <wp:docPr id="46" name="Picture" descr="软件信息审核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descr="软件信息审核列表"/>
                    <pic:cNvPicPr>
                      <a:picLocks noChangeAspect="1" noChangeArrowheads="1"/>
                    </pic:cNvPicPr>
                  </pic:nvPicPr>
                  <pic:blipFill>
                    <a:blip r:embed="rId12"/>
                    <a:stretch>
                      <a:fillRect/>
                    </a:stretch>
                  </pic:blipFill>
                  <pic:spPr>
                    <a:xfrm>
                      <a:off x="0" y="0"/>
                      <a:ext cx="5334000" cy="1293222"/>
                    </a:xfrm>
                    <a:prstGeom prst="rect">
                      <a:avLst/>
                    </a:prstGeom>
                    <a:noFill/>
                    <a:ln w="9525">
                      <a:noFill/>
                    </a:ln>
                  </pic:spPr>
                </pic:pic>
              </a:graphicData>
            </a:graphic>
          </wp:inline>
        </w:drawing>
      </w:r>
    </w:p>
    <w:p w14:paraId="507E78E2">
      <w:pPr>
        <w:pStyle w:val="3"/>
      </w:pPr>
      <w:r>
        <w:drawing>
          <wp:inline distT="0" distB="0" distL="114300" distR="114300">
            <wp:extent cx="5334000" cy="4079875"/>
            <wp:effectExtent l="0" t="0" r="0" b="0"/>
            <wp:docPr id="49" name="Picture" descr="软件信息审核详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descr="软件信息审核详情"/>
                    <pic:cNvPicPr>
                      <a:picLocks noChangeAspect="1" noChangeArrowheads="1"/>
                    </pic:cNvPicPr>
                  </pic:nvPicPr>
                  <pic:blipFill>
                    <a:blip r:embed="rId13"/>
                    <a:stretch>
                      <a:fillRect/>
                    </a:stretch>
                  </pic:blipFill>
                  <pic:spPr>
                    <a:xfrm>
                      <a:off x="0" y="0"/>
                      <a:ext cx="5334000" cy="4080477"/>
                    </a:xfrm>
                    <a:prstGeom prst="rect">
                      <a:avLst/>
                    </a:prstGeom>
                    <a:noFill/>
                    <a:ln w="9525">
                      <a:noFill/>
                    </a:ln>
                  </pic:spPr>
                </pic:pic>
              </a:graphicData>
            </a:graphic>
          </wp:inline>
        </w:drawing>
      </w:r>
    </w:p>
    <w:bookmarkEnd w:id="13"/>
    <w:p w14:paraId="7BF41D77">
      <w:pPr>
        <w:pStyle w:val="6"/>
      </w:pPr>
      <w:bookmarkStart w:id="14" w:name="软件信息查看"/>
      <w:r>
        <w:rPr>
          <w:rFonts w:hint="eastAsia"/>
        </w:rPr>
        <w:t>软件信息查看</w:t>
      </w:r>
    </w:p>
    <w:p w14:paraId="5BF71FAA">
      <w:pPr>
        <w:pStyle w:val="26"/>
      </w:pPr>
      <w:r>
        <w:rPr>
          <w:rFonts w:hint="eastAsia"/>
        </w:rPr>
        <w:t>展示所有审核通过的外接、程序化软件。</w:t>
      </w:r>
    </w:p>
    <w:p w14:paraId="3B855BFF">
      <w:pPr>
        <w:pStyle w:val="3"/>
      </w:pPr>
      <w:r>
        <w:drawing>
          <wp:inline distT="0" distB="0" distL="114300" distR="114300">
            <wp:extent cx="5334000" cy="1880870"/>
            <wp:effectExtent l="0" t="0" r="0" b="0"/>
            <wp:docPr id="53" name="Picture" descr="软件信息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descr="软件信息查询"/>
                    <pic:cNvPicPr>
                      <a:picLocks noChangeAspect="1" noChangeArrowheads="1"/>
                    </pic:cNvPicPr>
                  </pic:nvPicPr>
                  <pic:blipFill>
                    <a:blip r:embed="rId14"/>
                    <a:stretch>
                      <a:fillRect/>
                    </a:stretch>
                  </pic:blipFill>
                  <pic:spPr>
                    <a:xfrm>
                      <a:off x="0" y="0"/>
                      <a:ext cx="5334000" cy="1881410"/>
                    </a:xfrm>
                    <a:prstGeom prst="rect">
                      <a:avLst/>
                    </a:prstGeom>
                    <a:noFill/>
                    <a:ln w="9525">
                      <a:noFill/>
                    </a:ln>
                  </pic:spPr>
                </pic:pic>
              </a:graphicData>
            </a:graphic>
          </wp:inline>
        </w:drawing>
      </w:r>
    </w:p>
    <w:bookmarkEnd w:id="11"/>
    <w:bookmarkEnd w:id="14"/>
    <w:p w14:paraId="052B67AE">
      <w:pPr>
        <w:pStyle w:val="5"/>
      </w:pPr>
      <w:bookmarkStart w:id="15" w:name="_Toc1019"/>
      <w:bookmarkStart w:id="16" w:name="客户信息"/>
      <w:r>
        <w:rPr>
          <w:rFonts w:hint="eastAsia"/>
        </w:rPr>
        <w:t>1.2、客户信息</w:t>
      </w:r>
      <w:bookmarkEnd w:id="15"/>
    </w:p>
    <w:p w14:paraId="0056641B">
      <w:pPr>
        <w:pStyle w:val="26"/>
      </w:pPr>
      <w:r>
        <w:rPr>
          <w:rFonts w:hint="eastAsia"/>
        </w:rPr>
        <w:t>区分</w:t>
      </w:r>
      <w:r>
        <w:rPr>
          <w:rFonts w:hint="eastAsia"/>
          <w:b/>
          <w:bCs/>
        </w:rPr>
        <w:t>外接非程序化客户</w:t>
      </w:r>
      <w:r>
        <w:rPr>
          <w:rFonts w:hint="eastAsia"/>
        </w:rPr>
        <w:t>和</w:t>
      </w:r>
      <w:r>
        <w:rPr>
          <w:rFonts w:hint="eastAsia"/>
          <w:b/>
          <w:bCs/>
        </w:rPr>
        <w:t>程序化交易客户</w:t>
      </w:r>
      <w:r>
        <w:rPr>
          <w:rFonts w:hint="eastAsia"/>
        </w:rPr>
        <w:t>，信息分别维护：</w:t>
      </w:r>
    </w:p>
    <w:p w14:paraId="07C904D5">
      <w:pPr>
        <w:pStyle w:val="27"/>
        <w:numPr>
          <w:ilvl w:val="0"/>
          <w:numId w:val="1"/>
        </w:numPr>
      </w:pPr>
      <w:r>
        <w:rPr>
          <w:rFonts w:hint="eastAsia"/>
        </w:rPr>
        <w:t>只要是程序化交易客户，无论使用的是外接还是公司采购的软件，客户信息均维护为【程序化交易客户登记】模块。</w:t>
      </w:r>
    </w:p>
    <w:p w14:paraId="5202C796">
      <w:pPr>
        <w:pStyle w:val="27"/>
        <w:numPr>
          <w:ilvl w:val="0"/>
          <w:numId w:val="1"/>
        </w:numPr>
      </w:pPr>
      <w:r>
        <w:rPr>
          <w:rFonts w:hint="eastAsia"/>
        </w:rPr>
        <w:t>若绑定的软件是外接软件，但不是程序化软件，则客户信息维护在【外接非程序化客户信息登记】模块。</w:t>
      </w:r>
    </w:p>
    <w:p w14:paraId="045BD8CC">
      <w:pPr>
        <w:pStyle w:val="26"/>
      </w:pPr>
    </w:p>
    <w:p w14:paraId="008AFD77">
      <w:pPr>
        <w:pStyle w:val="6"/>
      </w:pPr>
      <w:bookmarkStart w:id="17" w:name="外接非程序化客户信息登记审核查询"/>
      <w:r>
        <w:rPr>
          <w:rFonts w:hint="eastAsia"/>
        </w:rPr>
        <w:t>外接非程序化客户信息登记/审核/查询</w:t>
      </w:r>
    </w:p>
    <w:p w14:paraId="11E1743C">
      <w:pPr>
        <w:pStyle w:val="26"/>
      </w:pPr>
      <w:r>
        <w:rPr>
          <w:rFonts w:hint="eastAsia"/>
        </w:rPr>
        <w:t>用于统一管理外接非程序化客户的接入与注销状态、接入软件信息、接入目的及接入明细，为后续客户异常行为监控提供数据基础。</w:t>
      </w:r>
    </w:p>
    <w:p w14:paraId="38EBEBE0">
      <w:pPr>
        <w:pStyle w:val="3"/>
      </w:pPr>
      <w:r>
        <w:rPr>
          <w:rFonts w:hint="eastAsia"/>
        </w:rPr>
        <w:t>系统提供以下</w:t>
      </w:r>
      <w:r>
        <w:t xml:space="preserve"> 3 </w:t>
      </w:r>
      <w:r>
        <w:rPr>
          <w:rFonts w:hint="eastAsia"/>
        </w:rPr>
        <w:t>个功能菜单：</w:t>
      </w:r>
    </w:p>
    <w:p w14:paraId="441691CE">
      <w:pPr>
        <w:pStyle w:val="27"/>
        <w:numPr>
          <w:ilvl w:val="0"/>
          <w:numId w:val="1"/>
        </w:numPr>
      </w:pPr>
      <w:r>
        <w:rPr>
          <w:rFonts w:hint="eastAsia"/>
          <w:b/>
          <w:bCs/>
        </w:rPr>
        <w:t>外接非程序化客户信息维护：</w:t>
      </w:r>
      <w:r>
        <w:t xml:space="preserve"> </w:t>
      </w:r>
      <w:r>
        <w:rPr>
          <w:rFonts w:hint="eastAsia"/>
        </w:rPr>
        <w:t>用于外接非程序化客户信息的</w:t>
      </w:r>
      <w:r>
        <w:rPr>
          <w:rFonts w:hint="eastAsia"/>
          <w:b/>
          <w:bCs/>
        </w:rPr>
        <w:t>增、删、改</w:t>
      </w:r>
      <w:r>
        <w:rPr>
          <w:rFonts w:hint="eastAsia"/>
        </w:rPr>
        <w:t>操作。</w:t>
      </w:r>
    </w:p>
    <w:p w14:paraId="55185BBE">
      <w:pPr>
        <w:pStyle w:val="27"/>
        <w:numPr>
          <w:ilvl w:val="0"/>
          <w:numId w:val="1"/>
        </w:numPr>
      </w:pPr>
      <w:r>
        <w:rPr>
          <w:rFonts w:hint="eastAsia"/>
          <w:b/>
          <w:bCs/>
        </w:rPr>
        <w:t>外接非程序化客户信息审核：</w:t>
      </w:r>
      <w:r>
        <w:t xml:space="preserve"> </w:t>
      </w:r>
      <w:r>
        <w:rPr>
          <w:rFonts w:hint="eastAsia"/>
        </w:rPr>
        <w:t>对在【外接非程序化客户信息维护】页面中增删改的信息进行</w:t>
      </w:r>
      <w:r>
        <w:rPr>
          <w:rFonts w:hint="eastAsia"/>
          <w:b/>
          <w:bCs/>
        </w:rPr>
        <w:t>人工审核</w:t>
      </w:r>
      <w:r>
        <w:rPr>
          <w:rFonts w:hint="eastAsia"/>
        </w:rPr>
        <w:t>。审核后的数据方为有效数据。（方案默认不开启审核机制，如需开启请与德索联系）</w:t>
      </w:r>
    </w:p>
    <w:p w14:paraId="03E620F1">
      <w:pPr>
        <w:pStyle w:val="27"/>
        <w:numPr>
          <w:ilvl w:val="0"/>
          <w:numId w:val="1"/>
        </w:numPr>
      </w:pPr>
      <w:r>
        <w:rPr>
          <w:rFonts w:hint="eastAsia"/>
          <w:b/>
          <w:bCs/>
        </w:rPr>
        <w:t>外接非程序化客户信息查询：</w:t>
      </w:r>
      <w:r>
        <w:t xml:space="preserve"> </w:t>
      </w:r>
      <w:r>
        <w:rPr>
          <w:rFonts w:hint="eastAsia"/>
        </w:rPr>
        <w:t>用于</w:t>
      </w:r>
      <w:r>
        <w:rPr>
          <w:rFonts w:hint="eastAsia"/>
          <w:b/>
          <w:bCs/>
        </w:rPr>
        <w:t>查询、导出</w:t>
      </w:r>
      <w:r>
        <w:rPr>
          <w:rFonts w:hint="eastAsia"/>
        </w:rPr>
        <w:t>审核通过后的有效的外接非程序化客户信息。</w:t>
      </w:r>
    </w:p>
    <w:p w14:paraId="2B644807">
      <w:pPr>
        <w:pStyle w:val="26"/>
      </w:pPr>
      <w:r>
        <w:rPr>
          <w:rFonts w:hint="eastAsia"/>
          <w:b/>
          <w:bCs/>
        </w:rPr>
        <w:t>单客户录入</w:t>
      </w:r>
    </w:p>
    <w:p w14:paraId="159BA4DD">
      <w:pPr>
        <w:pStyle w:val="3"/>
      </w:pPr>
      <w:r>
        <w:rPr>
          <w:rFonts w:hint="eastAsia"/>
        </w:rPr>
        <w:t>在页面中点击”新增”按钮，跳转到新增页面。</w:t>
      </w:r>
    </w:p>
    <w:p w14:paraId="21603481">
      <w:pPr>
        <w:pStyle w:val="3"/>
      </w:pPr>
      <w:r>
        <w:drawing>
          <wp:inline distT="0" distB="0" distL="114300" distR="114300">
            <wp:extent cx="5334000" cy="1109345"/>
            <wp:effectExtent l="0" t="0" r="0" b="0"/>
            <wp:docPr id="58" name="Picture" descr="新增外接非程序化客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descr="新增外接非程序化客户"/>
                    <pic:cNvPicPr>
                      <a:picLocks noChangeAspect="1" noChangeArrowheads="1"/>
                    </pic:cNvPicPr>
                  </pic:nvPicPr>
                  <pic:blipFill>
                    <a:blip r:embed="rId15"/>
                    <a:stretch>
                      <a:fillRect/>
                    </a:stretch>
                  </pic:blipFill>
                  <pic:spPr>
                    <a:xfrm>
                      <a:off x="0" y="0"/>
                      <a:ext cx="5334000" cy="1109673"/>
                    </a:xfrm>
                    <a:prstGeom prst="rect">
                      <a:avLst/>
                    </a:prstGeom>
                    <a:noFill/>
                    <a:ln w="9525">
                      <a:noFill/>
                    </a:ln>
                  </pic:spPr>
                </pic:pic>
              </a:graphicData>
            </a:graphic>
          </wp:inline>
        </w:drawing>
      </w:r>
    </w:p>
    <w:p w14:paraId="6DF32F0E">
      <w:pPr>
        <w:pStyle w:val="3"/>
      </w:pPr>
      <w:r>
        <w:rPr>
          <w:rFonts w:hint="eastAsia"/>
        </w:rPr>
        <w:t>信息项录入说明：</w:t>
      </w:r>
    </w:p>
    <w:p w14:paraId="5E633BF8">
      <w:pPr>
        <w:pStyle w:val="3"/>
      </w:pPr>
    </w:p>
    <w:p w14:paraId="09488C8B">
      <w:pPr>
        <w:pStyle w:val="27"/>
        <w:numPr>
          <w:ilvl w:val="0"/>
          <w:numId w:val="7"/>
        </w:numPr>
      </w:pPr>
      <w:r>
        <w:rPr>
          <w:rFonts w:hint="eastAsia"/>
          <w:b/>
          <w:bCs/>
        </w:rPr>
        <w:t>投资者代码：</w:t>
      </w:r>
      <w:r>
        <w:t xml:space="preserve"> </w:t>
      </w:r>
      <w:r>
        <w:rPr>
          <w:rFonts w:hint="eastAsia"/>
        </w:rPr>
        <w:t>支持输入投资者代码、投资者名称模糊搜索，在下拉框中选择目标对象。</w:t>
      </w:r>
    </w:p>
    <w:p w14:paraId="094BCD4C">
      <w:pPr>
        <w:pStyle w:val="27"/>
        <w:numPr>
          <w:ilvl w:val="0"/>
          <w:numId w:val="7"/>
        </w:numPr>
      </w:pPr>
      <w:r>
        <w:rPr>
          <w:rFonts w:hint="eastAsia"/>
          <w:b/>
          <w:bCs/>
        </w:rPr>
        <w:t>投资者类型：</w:t>
      </w:r>
      <w:r>
        <w:t xml:space="preserve"> </w:t>
      </w:r>
      <w:r>
        <w:rPr>
          <w:rFonts w:hint="eastAsia"/>
        </w:rPr>
        <w:t>根据所选中的投资者自动回显。</w:t>
      </w:r>
    </w:p>
    <w:p w14:paraId="3649BA46">
      <w:pPr>
        <w:pStyle w:val="27"/>
        <w:numPr>
          <w:ilvl w:val="0"/>
          <w:numId w:val="7"/>
        </w:numPr>
      </w:pPr>
      <w:r>
        <w:rPr>
          <w:rFonts w:hint="eastAsia"/>
          <w:b/>
          <w:bCs/>
        </w:rPr>
        <w:t>软件名称：</w:t>
      </w:r>
      <w:r>
        <w:t xml:space="preserve"> </w:t>
      </w:r>
      <w:r>
        <w:rPr>
          <w:rFonts w:hint="eastAsia"/>
        </w:rPr>
        <w:t>下拉单选，回显【软件信息查询】中已审核通过的有效的外接软件，只展示”软件类型”为”外接客户端”、“外接中继”的软件名称。</w:t>
      </w:r>
    </w:p>
    <w:p w14:paraId="03209570">
      <w:pPr>
        <w:pStyle w:val="27"/>
        <w:numPr>
          <w:ilvl w:val="0"/>
          <w:numId w:val="7"/>
        </w:numPr>
      </w:pPr>
      <w:r>
        <w:rPr>
          <w:rFonts w:hint="eastAsia"/>
          <w:b/>
          <w:bCs/>
        </w:rPr>
        <w:t>APPID：</w:t>
      </w:r>
      <w:r>
        <w:t xml:space="preserve"> </w:t>
      </w:r>
      <w:r>
        <w:rPr>
          <w:rFonts w:hint="eastAsia"/>
        </w:rPr>
        <w:t>根据所选择的软件名称回显，不可修改。</w:t>
      </w:r>
    </w:p>
    <w:p w14:paraId="73DEF071">
      <w:pPr>
        <w:pStyle w:val="27"/>
        <w:numPr>
          <w:ilvl w:val="0"/>
          <w:numId w:val="7"/>
        </w:numPr>
      </w:pPr>
      <w:r>
        <w:rPr>
          <w:rFonts w:hint="eastAsia"/>
          <w:b/>
          <w:bCs/>
        </w:rPr>
        <w:t>软件接入系统：</w:t>
      </w:r>
      <w:r>
        <w:t xml:space="preserve"> </w:t>
      </w:r>
      <w:r>
        <w:rPr>
          <w:rFonts w:hint="eastAsia"/>
        </w:rPr>
        <w:t>必填，根据所选择的软件名称回显，支持修改。</w:t>
      </w:r>
    </w:p>
    <w:p w14:paraId="54A0AB84">
      <w:pPr>
        <w:pStyle w:val="27"/>
        <w:numPr>
          <w:ilvl w:val="0"/>
          <w:numId w:val="7"/>
        </w:numPr>
      </w:pPr>
      <w:r>
        <w:rPr>
          <w:rFonts w:hint="eastAsia"/>
          <w:b/>
          <w:bCs/>
        </w:rPr>
        <w:t>其他软件接入系统：</w:t>
      </w:r>
      <w:r>
        <w:t xml:space="preserve"> </w:t>
      </w:r>
      <w:r>
        <w:rPr>
          <w:rFonts w:hint="eastAsia"/>
        </w:rPr>
        <w:t>当”软件接入系统”选中”其他”时，必填。</w:t>
      </w:r>
    </w:p>
    <w:p w14:paraId="3721C74F">
      <w:pPr>
        <w:pStyle w:val="27"/>
        <w:numPr>
          <w:ilvl w:val="0"/>
          <w:numId w:val="7"/>
        </w:numPr>
      </w:pPr>
      <w:r>
        <w:rPr>
          <w:rFonts w:hint="eastAsia"/>
          <w:b/>
          <w:bCs/>
        </w:rPr>
        <w:t>厂商名称~分账户功能：</w:t>
      </w:r>
      <w:r>
        <w:t xml:space="preserve"> </w:t>
      </w:r>
      <w:r>
        <w:rPr>
          <w:rFonts w:hint="eastAsia"/>
        </w:rPr>
        <w:t>根据所选择的软件名称回显，不可修改。</w:t>
      </w:r>
    </w:p>
    <w:p w14:paraId="21F74AF6">
      <w:pPr>
        <w:pStyle w:val="27"/>
        <w:numPr>
          <w:ilvl w:val="0"/>
          <w:numId w:val="7"/>
        </w:numPr>
      </w:pPr>
      <w:r>
        <w:rPr>
          <w:rFonts w:hint="eastAsia"/>
          <w:b/>
          <w:bCs/>
        </w:rPr>
        <w:t>是否从事程序化：</w:t>
      </w:r>
      <w:r>
        <w:t xml:space="preserve"> </w:t>
      </w:r>
      <w:r>
        <w:rPr>
          <w:rFonts w:hint="eastAsia"/>
        </w:rPr>
        <w:t>下拉单选。若从事程序化，建议在【程序化交易客户信息维护】中维护该客户。</w:t>
      </w:r>
    </w:p>
    <w:p w14:paraId="34182C6C">
      <w:pPr>
        <w:pStyle w:val="27"/>
        <w:numPr>
          <w:ilvl w:val="0"/>
          <w:numId w:val="7"/>
        </w:numPr>
      </w:pPr>
      <w:r>
        <w:rPr>
          <w:rFonts w:hint="eastAsia"/>
          <w:b/>
          <w:bCs/>
        </w:rPr>
        <w:t>接入目的：</w:t>
      </w:r>
      <w:r>
        <w:t xml:space="preserve"> </w:t>
      </w:r>
      <w:r>
        <w:rPr>
          <w:rFonts w:hint="eastAsia"/>
        </w:rPr>
        <w:t>非必填，下拉单选，记录该客户接入外接软件的目的是否为交易。</w:t>
      </w:r>
    </w:p>
    <w:p w14:paraId="7CBEF709">
      <w:pPr>
        <w:pStyle w:val="27"/>
        <w:numPr>
          <w:ilvl w:val="0"/>
          <w:numId w:val="7"/>
        </w:numPr>
      </w:pPr>
      <w:r>
        <w:rPr>
          <w:rFonts w:hint="eastAsia"/>
          <w:b/>
          <w:bCs/>
        </w:rPr>
        <w:t>运营模式：</w:t>
      </w:r>
      <w:r>
        <w:t xml:space="preserve"> </w:t>
      </w:r>
      <w:r>
        <w:rPr>
          <w:rFonts w:hint="eastAsia"/>
        </w:rPr>
        <w:t>非必填，下拉单选，记录该客户接入的外接软件的运营模式，下拉可选择自主运营、委托期货公司运营、委托第三方运营。</w:t>
      </w:r>
    </w:p>
    <w:p w14:paraId="6D5E6B22">
      <w:pPr>
        <w:pStyle w:val="27"/>
        <w:numPr>
          <w:ilvl w:val="0"/>
          <w:numId w:val="7"/>
        </w:numPr>
      </w:pPr>
      <w:r>
        <w:rPr>
          <w:rFonts w:hint="eastAsia"/>
          <w:b/>
          <w:bCs/>
        </w:rPr>
        <w:t>托管模式：</w:t>
      </w:r>
      <w:r>
        <w:t xml:space="preserve"> </w:t>
      </w:r>
      <w:r>
        <w:rPr>
          <w:rFonts w:hint="eastAsia"/>
        </w:rPr>
        <w:t>非必填，下拉单选，记录该客户接入的外接软件的托管模式，下拉可选择不托管、公司机房、交易所机房。</w:t>
      </w:r>
    </w:p>
    <w:p w14:paraId="77B39D81">
      <w:pPr>
        <w:pStyle w:val="27"/>
        <w:numPr>
          <w:ilvl w:val="0"/>
          <w:numId w:val="7"/>
        </w:numPr>
      </w:pPr>
      <w:r>
        <w:rPr>
          <w:rFonts w:hint="eastAsia"/>
          <w:b/>
          <w:bCs/>
        </w:rPr>
        <w:t>软件部署位置、MAC</w:t>
      </w:r>
      <w:r>
        <w:rPr>
          <w:b/>
          <w:bCs/>
        </w:rPr>
        <w:t xml:space="preserve"> </w:t>
      </w:r>
      <w:r>
        <w:rPr>
          <w:rFonts w:hint="eastAsia"/>
          <w:b/>
          <w:bCs/>
        </w:rPr>
        <w:t>地址：</w:t>
      </w:r>
      <w:r>
        <w:t xml:space="preserve"> </w:t>
      </w:r>
      <w:r>
        <w:rPr>
          <w:rFonts w:hint="eastAsia"/>
        </w:rPr>
        <w:t>非必填，记录该客户外接软件的部署位置以及常用的</w:t>
      </w:r>
      <w:r>
        <w:t xml:space="preserve"> MAC </w:t>
      </w:r>
      <w:r>
        <w:rPr>
          <w:rFonts w:hint="eastAsia"/>
        </w:rPr>
        <w:t>地址。</w:t>
      </w:r>
    </w:p>
    <w:p w14:paraId="45D8D21A">
      <w:pPr>
        <w:pStyle w:val="27"/>
        <w:numPr>
          <w:ilvl w:val="0"/>
          <w:numId w:val="7"/>
        </w:numPr>
      </w:pPr>
      <w:r>
        <w:rPr>
          <w:rFonts w:hint="eastAsia"/>
          <w:b/>
          <w:bCs/>
        </w:rPr>
        <w:t>接入状态：</w:t>
      </w:r>
      <w:r>
        <w:t xml:space="preserve"> </w:t>
      </w:r>
      <w:r>
        <w:rPr>
          <w:rFonts w:hint="eastAsia"/>
        </w:rPr>
        <w:t>默认为”接入”。若后续客户需退出接入，请在此修改状态。</w:t>
      </w:r>
    </w:p>
    <w:p w14:paraId="475E5507">
      <w:pPr>
        <w:pStyle w:val="27"/>
        <w:numPr>
          <w:ilvl w:val="0"/>
          <w:numId w:val="7"/>
        </w:numPr>
      </w:pPr>
      <w:r>
        <w:rPr>
          <w:rFonts w:hint="eastAsia"/>
          <w:b/>
          <w:bCs/>
        </w:rPr>
        <w:t>接入录入日期：</w:t>
      </w:r>
      <w:r>
        <w:t xml:space="preserve"> </w:t>
      </w:r>
      <w:r>
        <w:rPr>
          <w:rFonts w:hint="eastAsia"/>
        </w:rPr>
        <w:t>维护该客户接入外接软件的申请日期或正式接入的日期。</w:t>
      </w:r>
    </w:p>
    <w:p w14:paraId="7E7D2CE6">
      <w:pPr>
        <w:pStyle w:val="27"/>
        <w:numPr>
          <w:ilvl w:val="0"/>
          <w:numId w:val="7"/>
        </w:numPr>
      </w:pPr>
      <w:r>
        <w:rPr>
          <w:rFonts w:hint="eastAsia"/>
          <w:b/>
          <w:bCs/>
        </w:rPr>
        <w:t>接入注销日期：</w:t>
      </w:r>
      <w:r>
        <w:t xml:space="preserve"> </w:t>
      </w:r>
      <w:r>
        <w:rPr>
          <w:rFonts w:hint="eastAsia"/>
        </w:rPr>
        <w:t>维护该客户退出接入、注销接入的日期。</w:t>
      </w:r>
    </w:p>
    <w:p w14:paraId="1C25509E">
      <w:pPr>
        <w:pStyle w:val="27"/>
        <w:numPr>
          <w:ilvl w:val="0"/>
          <w:numId w:val="7"/>
        </w:numPr>
      </w:pPr>
      <w:r>
        <w:rPr>
          <w:rFonts w:hint="eastAsia"/>
          <w:b/>
          <w:bCs/>
        </w:rPr>
        <w:t>风险等级：</w:t>
      </w:r>
      <w:r>
        <w:t xml:space="preserve"> </w:t>
      </w:r>
      <w:r>
        <w:rPr>
          <w:rFonts w:hint="eastAsia"/>
        </w:rPr>
        <w:t>默认为”低”，用于管理外接客户风险等级。</w:t>
      </w:r>
    </w:p>
    <w:p w14:paraId="1F6123CD">
      <w:pPr>
        <w:pStyle w:val="27"/>
        <w:numPr>
          <w:ilvl w:val="0"/>
          <w:numId w:val="7"/>
        </w:numPr>
      </w:pPr>
      <w:r>
        <w:rPr>
          <w:rFonts w:hint="eastAsia"/>
          <w:b/>
          <w:bCs/>
        </w:rPr>
        <w:t>承诺书、风险提示书、尽职调查表、测试报告：</w:t>
      </w:r>
      <w:r>
        <w:t xml:space="preserve"> </w:t>
      </w:r>
      <w:r>
        <w:rPr>
          <w:rFonts w:hint="eastAsia"/>
        </w:rPr>
        <w:t>提供上传外接非程序化客户的接入申请相关附件。</w:t>
      </w:r>
    </w:p>
    <w:p w14:paraId="189BF783">
      <w:pPr>
        <w:pStyle w:val="13"/>
      </w:pPr>
      <w:r>
        <w:rPr>
          <w:rFonts w:hint="eastAsia"/>
          <w:b/>
          <w:bCs/>
        </w:rPr>
        <w:t>提示</w:t>
      </w:r>
    </w:p>
    <w:p w14:paraId="4C29228F">
      <w:pPr>
        <w:pStyle w:val="52"/>
      </w:pPr>
      <w:r>
        <w:rPr>
          <w:rStyle w:val="51"/>
          <w:rFonts w:hint="eastAsia"/>
        </w:rPr>
        <w:t>支持归档到德索【影像资料】模块，初始化时需创建影像参数后方可归档，请联系德索支持。</w:t>
      </w:r>
    </w:p>
    <w:p w14:paraId="5D0582C5">
      <w:pPr>
        <w:pStyle w:val="26"/>
      </w:pPr>
      <w:r>
        <w:rPr>
          <w:b/>
          <w:bCs/>
        </w:rPr>
        <w:t xml:space="preserve">excel </w:t>
      </w:r>
      <w:r>
        <w:rPr>
          <w:rFonts w:hint="eastAsia"/>
          <w:b/>
          <w:bCs/>
        </w:rPr>
        <w:t>模板批量导入</w:t>
      </w:r>
    </w:p>
    <w:p w14:paraId="1A148823">
      <w:pPr>
        <w:pStyle w:val="3"/>
      </w:pPr>
      <w:r>
        <w:rPr>
          <w:rFonts w:hint="eastAsia"/>
        </w:rPr>
        <w:t>点击”下载模板”按钮，下载系统提供的默认模板，在模板中维护所需导入的外接非程序化客户。点击”导入”按钮，上传维护好的</w:t>
      </w:r>
      <w:r>
        <w:t xml:space="preserve"> excel </w:t>
      </w:r>
      <w:r>
        <w:rPr>
          <w:rFonts w:hint="eastAsia"/>
        </w:rPr>
        <w:t>模板。</w:t>
      </w:r>
    </w:p>
    <w:p w14:paraId="66DDAE48">
      <w:pPr>
        <w:pStyle w:val="3"/>
      </w:pPr>
      <w:r>
        <w:drawing>
          <wp:inline distT="0" distB="0" distL="114300" distR="114300">
            <wp:extent cx="5334000" cy="1159510"/>
            <wp:effectExtent l="0" t="0" r="0" b="0"/>
            <wp:docPr id="61" name="Picture" descr="excel 模板导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descr="excel 模板导入"/>
                    <pic:cNvPicPr>
                      <a:picLocks noChangeAspect="1" noChangeArrowheads="1"/>
                    </pic:cNvPicPr>
                  </pic:nvPicPr>
                  <pic:blipFill>
                    <a:blip r:embed="rId16"/>
                    <a:stretch>
                      <a:fillRect/>
                    </a:stretch>
                  </pic:blipFill>
                  <pic:spPr>
                    <a:xfrm>
                      <a:off x="0" y="0"/>
                      <a:ext cx="5334000" cy="1159565"/>
                    </a:xfrm>
                    <a:prstGeom prst="rect">
                      <a:avLst/>
                    </a:prstGeom>
                    <a:noFill/>
                    <a:ln w="9525">
                      <a:noFill/>
                    </a:ln>
                  </pic:spPr>
                </pic:pic>
              </a:graphicData>
            </a:graphic>
          </wp:inline>
        </w:drawing>
      </w:r>
    </w:p>
    <w:p w14:paraId="740DED2F">
      <w:pPr>
        <w:pStyle w:val="3"/>
      </w:pPr>
      <w:r>
        <w:t xml:space="preserve">excel </w:t>
      </w:r>
      <w:r>
        <w:rPr>
          <w:rFonts w:hint="eastAsia"/>
        </w:rPr>
        <w:t>模板维护注意事项：</w:t>
      </w:r>
    </w:p>
    <w:p w14:paraId="4038699B">
      <w:pPr>
        <w:pStyle w:val="27"/>
        <w:numPr>
          <w:ilvl w:val="0"/>
          <w:numId w:val="8"/>
        </w:numPr>
      </w:pPr>
      <w:r>
        <w:t xml:space="preserve">excel </w:t>
      </w:r>
      <w:r>
        <w:rPr>
          <w:rFonts w:hint="eastAsia"/>
        </w:rPr>
        <w:t>模板中必填的信息项，因各家期货公司会有个性化调整，请参考”新增”页面中打星号的信息项。</w:t>
      </w:r>
    </w:p>
    <w:p w14:paraId="2E87E7FB">
      <w:pPr>
        <w:pStyle w:val="26"/>
      </w:pPr>
      <w:r>
        <w:drawing>
          <wp:inline distT="0" distB="0" distL="114300" distR="114300">
            <wp:extent cx="5334000" cy="3377565"/>
            <wp:effectExtent l="0" t="0" r="0" b="0"/>
            <wp:docPr id="64" name="Picture" descr="excel 模板必填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descr="excel 模板必填项"/>
                    <pic:cNvPicPr>
                      <a:picLocks noChangeAspect="1" noChangeArrowheads="1"/>
                    </pic:cNvPicPr>
                  </pic:nvPicPr>
                  <pic:blipFill>
                    <a:blip r:embed="rId17"/>
                    <a:stretch>
                      <a:fillRect/>
                    </a:stretch>
                  </pic:blipFill>
                  <pic:spPr>
                    <a:xfrm>
                      <a:off x="0" y="0"/>
                      <a:ext cx="5334000" cy="3377780"/>
                    </a:xfrm>
                    <a:prstGeom prst="rect">
                      <a:avLst/>
                    </a:prstGeom>
                    <a:noFill/>
                    <a:ln w="9525">
                      <a:noFill/>
                    </a:ln>
                  </pic:spPr>
                </pic:pic>
              </a:graphicData>
            </a:graphic>
          </wp:inline>
        </w:drawing>
      </w:r>
    </w:p>
    <w:p w14:paraId="1A3BAA11">
      <w:pPr>
        <w:pStyle w:val="27"/>
        <w:numPr>
          <w:ilvl w:val="0"/>
          <w:numId w:val="9"/>
        </w:numPr>
      </w:pPr>
      <w:r>
        <w:rPr>
          <w:rFonts w:hint="eastAsia"/>
        </w:rPr>
        <w:t>请根据</w:t>
      </w:r>
      <w:r>
        <w:t xml:space="preserve"> excel </w:t>
      </w:r>
      <w:r>
        <w:rPr>
          <w:rFonts w:hint="eastAsia"/>
        </w:rPr>
        <w:t>模板中”码表”sheet</w:t>
      </w:r>
      <w:r>
        <w:t xml:space="preserve"> </w:t>
      </w:r>
      <w:r>
        <w:rPr>
          <w:rFonts w:hint="eastAsia"/>
        </w:rPr>
        <w:t>页所提供的</w:t>
      </w:r>
      <w:r>
        <w:rPr>
          <w:rFonts w:hint="eastAsia"/>
          <w:b/>
          <w:bCs/>
        </w:rPr>
        <w:t>代码</w:t>
      </w:r>
      <w:r>
        <w:rPr>
          <w:rFonts w:hint="eastAsia"/>
        </w:rPr>
        <w:t>填写。（不可直接填写中文码值）</w:t>
      </w:r>
    </w:p>
    <w:p w14:paraId="7692D6AF">
      <w:pPr>
        <w:pStyle w:val="26"/>
      </w:pPr>
      <w:r>
        <w:drawing>
          <wp:inline distT="0" distB="0" distL="114300" distR="114300">
            <wp:extent cx="5334000" cy="2364105"/>
            <wp:effectExtent l="0" t="0" r="0" b="0"/>
            <wp:docPr id="67" name="Picture" descr="码表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descr="码表 sheet"/>
                    <pic:cNvPicPr>
                      <a:picLocks noChangeAspect="1" noChangeArrowheads="1"/>
                    </pic:cNvPicPr>
                  </pic:nvPicPr>
                  <pic:blipFill>
                    <a:blip r:embed="rId18"/>
                    <a:stretch>
                      <a:fillRect/>
                    </a:stretch>
                  </pic:blipFill>
                  <pic:spPr>
                    <a:xfrm>
                      <a:off x="0" y="0"/>
                      <a:ext cx="5334000" cy="2364428"/>
                    </a:xfrm>
                    <a:prstGeom prst="rect">
                      <a:avLst/>
                    </a:prstGeom>
                    <a:noFill/>
                    <a:ln w="9525">
                      <a:noFill/>
                    </a:ln>
                  </pic:spPr>
                </pic:pic>
              </a:graphicData>
            </a:graphic>
          </wp:inline>
        </w:drawing>
      </w:r>
    </w:p>
    <w:p w14:paraId="13BCBE7F">
      <w:pPr>
        <w:pStyle w:val="27"/>
        <w:numPr>
          <w:ilvl w:val="0"/>
          <w:numId w:val="10"/>
        </w:numPr>
      </w:pPr>
      <w:r>
        <w:rPr>
          <w:rFonts w:hint="eastAsia"/>
        </w:rPr>
        <w:t>附件不支持通过</w:t>
      </w:r>
      <w:r>
        <w:t xml:space="preserve"> excel </w:t>
      </w:r>
      <w:r>
        <w:rPr>
          <w:rFonts w:hint="eastAsia"/>
        </w:rPr>
        <w:t>模板的方式批量导入。</w:t>
      </w:r>
    </w:p>
    <w:p w14:paraId="0875DC62">
      <w:pPr>
        <w:pStyle w:val="26"/>
      </w:pPr>
      <w:r>
        <w:rPr>
          <w:rFonts w:hint="eastAsia"/>
          <w:b/>
          <w:bCs/>
        </w:rPr>
        <w:t>外接非程序化客户信息审核</w:t>
      </w:r>
    </w:p>
    <w:p w14:paraId="494DD652">
      <w:pPr>
        <w:pStyle w:val="3"/>
      </w:pPr>
      <w:r>
        <w:rPr>
          <w:rFonts w:hint="eastAsia"/>
        </w:rPr>
        <w:t>系统支持</w:t>
      </w:r>
      <w:r>
        <w:rPr>
          <w:rFonts w:hint="eastAsia"/>
          <w:b/>
          <w:bCs/>
        </w:rPr>
        <w:t>数据变更审核</w:t>
      </w:r>
      <w:r>
        <w:rPr>
          <w:rFonts w:hint="eastAsia"/>
        </w:rPr>
        <w:t>机制，审核通过后数据方正式生效，并同步至【外接非程序化客户信息查询】菜单。未经过审核后的信息不展示在【查询】页面。</w:t>
      </w:r>
    </w:p>
    <w:p w14:paraId="3FF76ED8">
      <w:pPr>
        <w:pStyle w:val="13"/>
      </w:pPr>
      <w:r>
        <w:rPr>
          <w:rFonts w:hint="eastAsia"/>
          <w:b/>
          <w:bCs/>
        </w:rPr>
        <w:t>说明</w:t>
      </w:r>
    </w:p>
    <w:p w14:paraId="257CC3C4">
      <w:pPr>
        <w:pStyle w:val="13"/>
      </w:pPr>
      <w:r>
        <w:rPr>
          <w:rFonts w:hint="eastAsia"/>
        </w:rPr>
        <w:t>版本部署后初始化默认不开启审核机制，如需开启请与德索联系。</w:t>
      </w:r>
    </w:p>
    <w:p w14:paraId="16B769C1">
      <w:pPr>
        <w:pStyle w:val="26"/>
      </w:pPr>
      <w:r>
        <w:drawing>
          <wp:inline distT="0" distB="0" distL="114300" distR="114300">
            <wp:extent cx="5334000" cy="1047115"/>
            <wp:effectExtent l="0" t="0" r="0" b="0"/>
            <wp:docPr id="70" name="Picture" descr="外接非程序化客户审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descr="外接非程序化客户审核"/>
                    <pic:cNvPicPr>
                      <a:picLocks noChangeAspect="1" noChangeArrowheads="1"/>
                    </pic:cNvPicPr>
                  </pic:nvPicPr>
                  <pic:blipFill>
                    <a:blip r:embed="rId19"/>
                    <a:stretch>
                      <a:fillRect/>
                    </a:stretch>
                  </pic:blipFill>
                  <pic:spPr>
                    <a:xfrm>
                      <a:off x="0" y="0"/>
                      <a:ext cx="5334000" cy="1047749"/>
                    </a:xfrm>
                    <a:prstGeom prst="rect">
                      <a:avLst/>
                    </a:prstGeom>
                    <a:noFill/>
                    <a:ln w="9525">
                      <a:noFill/>
                    </a:ln>
                  </pic:spPr>
                </pic:pic>
              </a:graphicData>
            </a:graphic>
          </wp:inline>
        </w:drawing>
      </w:r>
    </w:p>
    <w:p w14:paraId="2A1635C0">
      <w:pPr>
        <w:pStyle w:val="3"/>
      </w:pPr>
      <w:r>
        <w:rPr>
          <w:rFonts w:hint="eastAsia"/>
          <w:b/>
          <w:bCs/>
        </w:rPr>
        <w:t>外接非程序化客户信息查看</w:t>
      </w:r>
    </w:p>
    <w:p w14:paraId="1E9CE997">
      <w:pPr>
        <w:pStyle w:val="3"/>
      </w:pPr>
      <w:r>
        <w:rPr>
          <w:rFonts w:hint="eastAsia"/>
        </w:rPr>
        <w:t>展示所有审核通过的有效的外接非程序化客户信息。</w:t>
      </w:r>
    </w:p>
    <w:p w14:paraId="04B03F76">
      <w:pPr>
        <w:pStyle w:val="3"/>
      </w:pPr>
      <w:r>
        <w:drawing>
          <wp:inline distT="0" distB="0" distL="114300" distR="114300">
            <wp:extent cx="5334000" cy="1556385"/>
            <wp:effectExtent l="0" t="0" r="0" b="0"/>
            <wp:docPr id="73" name="Picture" descr="外接非程序化客户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descr="外接非程序化客户查询"/>
                    <pic:cNvPicPr>
                      <a:picLocks noChangeAspect="1" noChangeArrowheads="1"/>
                    </pic:cNvPicPr>
                  </pic:nvPicPr>
                  <pic:blipFill>
                    <a:blip r:embed="rId20"/>
                    <a:stretch>
                      <a:fillRect/>
                    </a:stretch>
                  </pic:blipFill>
                  <pic:spPr>
                    <a:xfrm>
                      <a:off x="0" y="0"/>
                      <a:ext cx="5334000" cy="1556679"/>
                    </a:xfrm>
                    <a:prstGeom prst="rect">
                      <a:avLst/>
                    </a:prstGeom>
                    <a:noFill/>
                    <a:ln w="9525">
                      <a:noFill/>
                    </a:ln>
                  </pic:spPr>
                </pic:pic>
              </a:graphicData>
            </a:graphic>
          </wp:inline>
        </w:drawing>
      </w:r>
    </w:p>
    <w:bookmarkEnd w:id="17"/>
    <w:p w14:paraId="227DD782">
      <w:pPr>
        <w:pStyle w:val="6"/>
      </w:pPr>
      <w:bookmarkStart w:id="18" w:name="程序化交易客户信息登记审核查询"/>
      <w:r>
        <w:rPr>
          <w:rFonts w:hint="eastAsia"/>
        </w:rPr>
        <w:t>程序化交易客户信息登记/审核/查询</w:t>
      </w:r>
    </w:p>
    <w:p w14:paraId="2982D457">
      <w:pPr>
        <w:pStyle w:val="26"/>
      </w:pPr>
      <w:r>
        <w:rPr>
          <w:rFonts w:hint="eastAsia"/>
        </w:rPr>
        <w:t>用于统一管理程序化交易客户的程序化交易软件向各交易所报告的信息，为后续客户”双十”筛查和异常行为监控提供数据基础。</w:t>
      </w:r>
    </w:p>
    <w:p w14:paraId="49F9F377">
      <w:pPr>
        <w:pStyle w:val="3"/>
      </w:pPr>
      <w:r>
        <w:rPr>
          <w:rFonts w:hint="eastAsia"/>
        </w:rPr>
        <w:t>系统提供以下</w:t>
      </w:r>
      <w:r>
        <w:t xml:space="preserve"> 3 </w:t>
      </w:r>
      <w:r>
        <w:rPr>
          <w:rFonts w:hint="eastAsia"/>
        </w:rPr>
        <w:t>个功能菜单：</w:t>
      </w:r>
    </w:p>
    <w:p w14:paraId="49E3B7C1">
      <w:pPr>
        <w:pStyle w:val="27"/>
        <w:numPr>
          <w:ilvl w:val="0"/>
          <w:numId w:val="1"/>
        </w:numPr>
      </w:pPr>
      <w:r>
        <w:rPr>
          <w:rFonts w:hint="eastAsia"/>
          <w:b/>
          <w:bCs/>
        </w:rPr>
        <w:t>程序化交易客户信息维护：</w:t>
      </w:r>
      <w:r>
        <w:t xml:space="preserve"> </w:t>
      </w:r>
      <w:r>
        <w:rPr>
          <w:rFonts w:hint="eastAsia"/>
        </w:rPr>
        <w:t>用于程序化交易客户信息的</w:t>
      </w:r>
      <w:r>
        <w:rPr>
          <w:rFonts w:hint="eastAsia"/>
          <w:b/>
          <w:bCs/>
        </w:rPr>
        <w:t>增、删、改</w:t>
      </w:r>
      <w:r>
        <w:rPr>
          <w:rFonts w:hint="eastAsia"/>
        </w:rPr>
        <w:t>操作。</w:t>
      </w:r>
    </w:p>
    <w:p w14:paraId="463F9CE4">
      <w:pPr>
        <w:pStyle w:val="27"/>
        <w:numPr>
          <w:ilvl w:val="0"/>
          <w:numId w:val="1"/>
        </w:numPr>
      </w:pPr>
      <w:r>
        <w:rPr>
          <w:rFonts w:hint="eastAsia"/>
          <w:b/>
          <w:bCs/>
        </w:rPr>
        <w:t>程序化交易客户信息审核：</w:t>
      </w:r>
      <w:r>
        <w:t xml:space="preserve"> </w:t>
      </w:r>
      <w:r>
        <w:rPr>
          <w:rFonts w:hint="eastAsia"/>
        </w:rPr>
        <w:t>对在【程序化交易客户信息维护】页面中增删改的信息进行</w:t>
      </w:r>
      <w:r>
        <w:rPr>
          <w:rFonts w:hint="eastAsia"/>
          <w:b/>
          <w:bCs/>
        </w:rPr>
        <w:t>人工审核</w:t>
      </w:r>
      <w:r>
        <w:rPr>
          <w:rFonts w:hint="eastAsia"/>
        </w:rPr>
        <w:t>。审核后的数据方为有效数据。（方案默认不开启审核机制，如需开启请与德索联系）</w:t>
      </w:r>
    </w:p>
    <w:p w14:paraId="7FD354E1">
      <w:pPr>
        <w:pStyle w:val="27"/>
        <w:numPr>
          <w:ilvl w:val="0"/>
          <w:numId w:val="1"/>
        </w:numPr>
      </w:pPr>
      <w:r>
        <w:rPr>
          <w:rFonts w:hint="eastAsia"/>
          <w:b/>
          <w:bCs/>
        </w:rPr>
        <w:t>程序化交易客户信息查询：</w:t>
      </w:r>
      <w:r>
        <w:t xml:space="preserve"> </w:t>
      </w:r>
      <w:r>
        <w:rPr>
          <w:rFonts w:hint="eastAsia"/>
        </w:rPr>
        <w:t>用于</w:t>
      </w:r>
      <w:r>
        <w:rPr>
          <w:rFonts w:hint="eastAsia"/>
          <w:b/>
          <w:bCs/>
        </w:rPr>
        <w:t>查询、导出</w:t>
      </w:r>
      <w:r>
        <w:rPr>
          <w:rFonts w:hint="eastAsia"/>
        </w:rPr>
        <w:t>审核通过后的有效的程序化交易客户信息。</w:t>
      </w:r>
    </w:p>
    <w:p w14:paraId="3B64A334">
      <w:pPr>
        <w:pStyle w:val="26"/>
      </w:pPr>
      <w:r>
        <w:rPr>
          <w:rFonts w:hint="eastAsia"/>
        </w:rPr>
        <w:t>不同期货公司对程序化交易客户的信息维护和报告监控中心的顺序不同，有的</w:t>
      </w:r>
      <w:r>
        <w:rPr>
          <w:rFonts w:hint="eastAsia"/>
          <w:b/>
          <w:bCs/>
        </w:rPr>
        <w:t>先维护、后报告</w:t>
      </w:r>
      <w:r>
        <w:rPr>
          <w:rFonts w:hint="eastAsia"/>
        </w:rPr>
        <w:t>，有的</w:t>
      </w:r>
      <w:r>
        <w:rPr>
          <w:rFonts w:hint="eastAsia"/>
          <w:b/>
          <w:bCs/>
        </w:rPr>
        <w:t>先报告、后维护</w:t>
      </w:r>
      <w:r>
        <w:t>。</w:t>
      </w:r>
    </w:p>
    <w:p w14:paraId="1AD96E58">
      <w:pPr>
        <w:pStyle w:val="27"/>
        <w:numPr>
          <w:ilvl w:val="0"/>
          <w:numId w:val="1"/>
        </w:numPr>
      </w:pPr>
      <w:r>
        <w:rPr>
          <w:rFonts w:hint="eastAsia"/>
        </w:rPr>
        <w:t>针对</w:t>
      </w:r>
      <w:r>
        <w:rPr>
          <w:rFonts w:hint="eastAsia"/>
          <w:b/>
          <w:bCs/>
        </w:rPr>
        <w:t>先维护、后报告</w:t>
      </w:r>
      <w:r>
        <w:rPr>
          <w:rFonts w:hint="eastAsia"/>
        </w:rPr>
        <w:t>的情况，系统提供</w:t>
      </w:r>
      <w:r>
        <w:rPr>
          <w:rFonts w:hint="eastAsia"/>
          <w:b/>
          <w:bCs/>
        </w:rPr>
        <w:t>单客户录入</w:t>
      </w:r>
      <w:r>
        <w:rPr>
          <w:rFonts w:hint="eastAsia"/>
        </w:rPr>
        <w:t>和</w:t>
      </w:r>
      <w:r>
        <w:t xml:space="preserve"> </w:t>
      </w:r>
      <w:r>
        <w:rPr>
          <w:b/>
          <w:bCs/>
        </w:rPr>
        <w:t xml:space="preserve">excel </w:t>
      </w:r>
      <w:r>
        <w:rPr>
          <w:rFonts w:hint="eastAsia"/>
          <w:b/>
          <w:bCs/>
        </w:rPr>
        <w:t>模板批量导入</w:t>
      </w:r>
      <w:r>
        <w:t xml:space="preserve"> 2 </w:t>
      </w:r>
      <w:r>
        <w:rPr>
          <w:rFonts w:hint="eastAsia"/>
        </w:rPr>
        <w:t>种登记信息方式，并支持</w:t>
      </w:r>
      <w:r>
        <w:rPr>
          <w:rFonts w:hint="eastAsia"/>
          <w:b/>
          <w:bCs/>
        </w:rPr>
        <w:t>一键批量导出报备监控中心的文件</w:t>
      </w:r>
      <w:r>
        <w:t>。</w:t>
      </w:r>
    </w:p>
    <w:p w14:paraId="559F9B25">
      <w:pPr>
        <w:pStyle w:val="27"/>
        <w:numPr>
          <w:ilvl w:val="0"/>
          <w:numId w:val="1"/>
        </w:numPr>
      </w:pPr>
      <w:r>
        <w:rPr>
          <w:rFonts w:hint="eastAsia"/>
        </w:rPr>
        <w:t>针对</w:t>
      </w:r>
      <w:r>
        <w:rPr>
          <w:rFonts w:hint="eastAsia"/>
          <w:b/>
          <w:bCs/>
        </w:rPr>
        <w:t>先报告、后维护</w:t>
      </w:r>
      <w:r>
        <w:rPr>
          <w:rFonts w:hint="eastAsia"/>
        </w:rPr>
        <w:t>的情况，期货公司从</w:t>
      </w:r>
      <w:r>
        <w:rPr>
          <w:rFonts w:hint="eastAsia"/>
          <w:b/>
          <w:bCs/>
        </w:rPr>
        <w:t>监控中心</w:t>
      </w:r>
      <w:r>
        <w:rPr>
          <w:rFonts w:hint="eastAsia"/>
        </w:rPr>
        <w:t>批量导出客户信息，将</w:t>
      </w:r>
      <w:r>
        <w:rPr>
          <w:rFonts w:hint="eastAsia"/>
          <w:b/>
          <w:bCs/>
        </w:rPr>
        <w:t>导出文件上传到系统</w:t>
      </w:r>
      <w:r>
        <w:rPr>
          <w:rFonts w:hint="eastAsia"/>
        </w:rPr>
        <w:t>中，自动匹配核心报告信息，自动完成信息录入。</w:t>
      </w:r>
    </w:p>
    <w:p w14:paraId="1D941E84">
      <w:pPr>
        <w:pStyle w:val="26"/>
      </w:pPr>
      <w:r>
        <w:rPr>
          <w:rFonts w:hint="eastAsia"/>
          <w:b/>
          <w:bCs/>
        </w:rPr>
        <w:t>1）单条新增</w:t>
      </w:r>
    </w:p>
    <w:p w14:paraId="527A0A90">
      <w:pPr>
        <w:pStyle w:val="3"/>
      </w:pPr>
      <w:r>
        <w:rPr>
          <w:rFonts w:hint="eastAsia"/>
        </w:rPr>
        <w:t>在页面中点击”新增”按钮，跳转到新增页面。</w:t>
      </w:r>
    </w:p>
    <w:p w14:paraId="4383189D">
      <w:pPr>
        <w:pStyle w:val="3"/>
      </w:pPr>
      <w:r>
        <w:drawing>
          <wp:inline distT="0" distB="0" distL="114300" distR="114300">
            <wp:extent cx="5334000" cy="1703705"/>
            <wp:effectExtent l="0" t="0" r="0" b="0"/>
            <wp:docPr id="77" name="Picture" descr="新增程序化交易客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descr="新增程序化交易客户"/>
                    <pic:cNvPicPr>
                      <a:picLocks noChangeAspect="1" noChangeArrowheads="1"/>
                    </pic:cNvPicPr>
                  </pic:nvPicPr>
                  <pic:blipFill>
                    <a:blip r:embed="rId21"/>
                    <a:stretch>
                      <a:fillRect/>
                    </a:stretch>
                  </pic:blipFill>
                  <pic:spPr>
                    <a:xfrm>
                      <a:off x="0" y="0"/>
                      <a:ext cx="5334000" cy="1704224"/>
                    </a:xfrm>
                    <a:prstGeom prst="rect">
                      <a:avLst/>
                    </a:prstGeom>
                    <a:noFill/>
                    <a:ln w="9525">
                      <a:noFill/>
                    </a:ln>
                  </pic:spPr>
                </pic:pic>
              </a:graphicData>
            </a:graphic>
          </wp:inline>
        </w:drawing>
      </w:r>
    </w:p>
    <w:p w14:paraId="0F0A4A9F">
      <w:pPr>
        <w:pStyle w:val="3"/>
      </w:pPr>
      <w:r>
        <w:rPr>
          <w:rFonts w:hint="eastAsia"/>
        </w:rPr>
        <w:t>信息项录入说明：</w:t>
      </w:r>
    </w:p>
    <w:p w14:paraId="07FC60D3">
      <w:pPr>
        <w:pStyle w:val="3"/>
      </w:pPr>
    </w:p>
    <w:p w14:paraId="00891C0C">
      <w:pPr>
        <w:pStyle w:val="27"/>
        <w:numPr>
          <w:ilvl w:val="0"/>
          <w:numId w:val="11"/>
        </w:numPr>
      </w:pPr>
      <w:r>
        <w:rPr>
          <w:rFonts w:hint="eastAsia"/>
          <w:b/>
          <w:bCs/>
        </w:rPr>
        <w:t>投资者代码：</w:t>
      </w:r>
      <w:r>
        <w:t xml:space="preserve"> </w:t>
      </w:r>
      <w:r>
        <w:rPr>
          <w:rFonts w:hint="eastAsia"/>
        </w:rPr>
        <w:t>支持输入投资者代码、投资者名称模糊搜索，在下拉框中选择目标对象。</w:t>
      </w:r>
    </w:p>
    <w:p w14:paraId="364C6BA3">
      <w:pPr>
        <w:pStyle w:val="27"/>
        <w:numPr>
          <w:ilvl w:val="0"/>
          <w:numId w:val="11"/>
        </w:numPr>
      </w:pPr>
      <w:r>
        <w:rPr>
          <w:rFonts w:hint="eastAsia"/>
          <w:b/>
          <w:bCs/>
        </w:rPr>
        <w:t>投资者类型：</w:t>
      </w:r>
      <w:r>
        <w:t xml:space="preserve"> </w:t>
      </w:r>
      <w:r>
        <w:rPr>
          <w:rFonts w:hint="eastAsia"/>
        </w:rPr>
        <w:t>根据所选中的投资者自动回显。</w:t>
      </w:r>
    </w:p>
    <w:p w14:paraId="005B3192">
      <w:pPr>
        <w:pStyle w:val="27"/>
        <w:numPr>
          <w:ilvl w:val="0"/>
          <w:numId w:val="11"/>
        </w:numPr>
      </w:pPr>
      <w:r>
        <w:rPr>
          <w:rFonts w:hint="eastAsia"/>
          <w:b/>
          <w:bCs/>
        </w:rPr>
        <w:t>软件名称：</w:t>
      </w:r>
      <w:r>
        <w:t xml:space="preserve"> </w:t>
      </w:r>
      <w:r>
        <w:rPr>
          <w:rFonts w:hint="eastAsia"/>
        </w:rPr>
        <w:t>下拉单选，回显【软件信息查询】中已审核通过的有效的外接软件，只展示”是否程序化”为”是”的软件名称。</w:t>
      </w:r>
    </w:p>
    <w:p w14:paraId="6BD15FEC">
      <w:pPr>
        <w:pStyle w:val="27"/>
        <w:numPr>
          <w:ilvl w:val="0"/>
          <w:numId w:val="11"/>
        </w:numPr>
      </w:pPr>
      <w:r>
        <w:rPr>
          <w:rFonts w:hint="eastAsia"/>
          <w:b/>
          <w:bCs/>
        </w:rPr>
        <w:t>APPID：</w:t>
      </w:r>
      <w:r>
        <w:t xml:space="preserve"> </w:t>
      </w:r>
      <w:r>
        <w:rPr>
          <w:rFonts w:hint="eastAsia"/>
        </w:rPr>
        <w:t>根据所选择的软件名称回显，不可修改。</w:t>
      </w:r>
    </w:p>
    <w:p w14:paraId="3FCE9010">
      <w:pPr>
        <w:pStyle w:val="27"/>
        <w:numPr>
          <w:ilvl w:val="0"/>
          <w:numId w:val="11"/>
        </w:numPr>
      </w:pPr>
      <w:r>
        <w:rPr>
          <w:rFonts w:hint="eastAsia"/>
          <w:b/>
          <w:bCs/>
        </w:rPr>
        <w:t>软件接入系统：</w:t>
      </w:r>
      <w:r>
        <w:t xml:space="preserve"> </w:t>
      </w:r>
      <w:r>
        <w:rPr>
          <w:rFonts w:hint="eastAsia"/>
        </w:rPr>
        <w:t>必填，根据所选择的软件名称回显，支持修改。</w:t>
      </w:r>
    </w:p>
    <w:p w14:paraId="1F2FE066">
      <w:pPr>
        <w:pStyle w:val="27"/>
        <w:numPr>
          <w:ilvl w:val="0"/>
          <w:numId w:val="11"/>
        </w:numPr>
      </w:pPr>
      <w:r>
        <w:rPr>
          <w:rFonts w:hint="eastAsia"/>
          <w:b/>
          <w:bCs/>
        </w:rPr>
        <w:t>其他软件接入系统：</w:t>
      </w:r>
      <w:r>
        <w:t xml:space="preserve"> </w:t>
      </w:r>
      <w:r>
        <w:rPr>
          <w:rFonts w:hint="eastAsia"/>
        </w:rPr>
        <w:t>当”软件接入系统”选中”其他”时，必填。</w:t>
      </w:r>
    </w:p>
    <w:p w14:paraId="5CFD2105">
      <w:pPr>
        <w:pStyle w:val="27"/>
        <w:numPr>
          <w:ilvl w:val="0"/>
          <w:numId w:val="11"/>
        </w:numPr>
      </w:pPr>
      <w:r>
        <w:rPr>
          <w:rFonts w:hint="eastAsia"/>
          <w:b/>
          <w:bCs/>
        </w:rPr>
        <w:t>厂商名称：</w:t>
      </w:r>
      <w:r>
        <w:t xml:space="preserve"> </w:t>
      </w:r>
      <w:r>
        <w:rPr>
          <w:rFonts w:hint="eastAsia"/>
        </w:rPr>
        <w:t>根据所选择的软件名称回显，不可修改。</w:t>
      </w:r>
    </w:p>
    <w:p w14:paraId="4ED140AE">
      <w:pPr>
        <w:pStyle w:val="27"/>
        <w:numPr>
          <w:ilvl w:val="0"/>
          <w:numId w:val="11"/>
        </w:numPr>
      </w:pPr>
      <w:r>
        <w:rPr>
          <w:rFonts w:hint="eastAsia"/>
          <w:b/>
          <w:bCs/>
        </w:rPr>
        <w:t>软件功能：</w:t>
      </w:r>
      <w:r>
        <w:t xml:space="preserve"> </w:t>
      </w:r>
      <w:r>
        <w:rPr>
          <w:rFonts w:hint="eastAsia"/>
        </w:rPr>
        <w:t>必填，根据所选择的软件名称回显，支持修改。</w:t>
      </w:r>
    </w:p>
    <w:p w14:paraId="4B709059">
      <w:pPr>
        <w:pStyle w:val="27"/>
        <w:numPr>
          <w:ilvl w:val="0"/>
          <w:numId w:val="11"/>
        </w:numPr>
      </w:pPr>
      <w:r>
        <w:rPr>
          <w:rFonts w:hint="eastAsia"/>
          <w:b/>
          <w:bCs/>
        </w:rPr>
        <w:t>其他软件功能：</w:t>
      </w:r>
      <w:r>
        <w:t xml:space="preserve"> </w:t>
      </w:r>
      <w:r>
        <w:rPr>
          <w:rFonts w:hint="eastAsia"/>
        </w:rPr>
        <w:t>当”软件功能”选中”其他功能，请描述”时，必填。</w:t>
      </w:r>
    </w:p>
    <w:p w14:paraId="35D1BF94">
      <w:pPr>
        <w:pStyle w:val="27"/>
        <w:numPr>
          <w:ilvl w:val="0"/>
          <w:numId w:val="11"/>
        </w:numPr>
      </w:pPr>
      <w:r>
        <w:rPr>
          <w:rFonts w:hint="eastAsia"/>
          <w:b/>
          <w:bCs/>
        </w:rPr>
        <w:t>软件类型、分账户功能：</w:t>
      </w:r>
      <w:r>
        <w:t xml:space="preserve"> </w:t>
      </w:r>
      <w:r>
        <w:rPr>
          <w:rFonts w:hint="eastAsia"/>
        </w:rPr>
        <w:t>根据所选择的软件名称回显，不可修改。</w:t>
      </w:r>
    </w:p>
    <w:p w14:paraId="7D647319">
      <w:pPr>
        <w:pStyle w:val="27"/>
        <w:numPr>
          <w:ilvl w:val="0"/>
          <w:numId w:val="11"/>
        </w:numPr>
      </w:pPr>
      <w:r>
        <w:rPr>
          <w:rFonts w:hint="eastAsia"/>
          <w:b/>
          <w:bCs/>
        </w:rPr>
        <w:t>是否启用分账户功能：</w:t>
      </w:r>
      <w:r>
        <w:t xml:space="preserve"> </w:t>
      </w:r>
      <w:r>
        <w:rPr>
          <w:rFonts w:hint="eastAsia"/>
        </w:rPr>
        <w:t>下拉单选。记录该客户是否启用该程序化软件中的分账户、子账户功能。</w:t>
      </w:r>
    </w:p>
    <w:p w14:paraId="7E95A1E6">
      <w:pPr>
        <w:pStyle w:val="27"/>
        <w:numPr>
          <w:ilvl w:val="0"/>
          <w:numId w:val="11"/>
        </w:numPr>
      </w:pPr>
      <w:r>
        <w:rPr>
          <w:rFonts w:hint="eastAsia"/>
          <w:b/>
          <w:bCs/>
        </w:rPr>
        <w:t>每秒最高报撤单频率、每日最高报撤单笔数：</w:t>
      </w:r>
      <w:r>
        <w:t xml:space="preserve"> </w:t>
      </w:r>
      <w:r>
        <w:rPr>
          <w:rFonts w:hint="eastAsia"/>
        </w:rPr>
        <w:t>根据所选择的软件名称回显，支持根据客户实际情况修改。</w:t>
      </w:r>
    </w:p>
    <w:p w14:paraId="0E64DA1D">
      <w:pPr>
        <w:pStyle w:val="27"/>
        <w:numPr>
          <w:ilvl w:val="0"/>
          <w:numId w:val="11"/>
        </w:numPr>
      </w:pPr>
      <w:r>
        <w:rPr>
          <w:rFonts w:hint="eastAsia"/>
          <w:b/>
          <w:bCs/>
        </w:rPr>
        <w:t>接入模式：</w:t>
      </w:r>
      <w:r>
        <w:t xml:space="preserve"> </w:t>
      </w:r>
      <w:r>
        <w:rPr>
          <w:rFonts w:hint="eastAsia"/>
        </w:rPr>
        <w:t>必填，支持多选，记录该客户程序化交易软件的接入模式。</w:t>
      </w:r>
    </w:p>
    <w:p w14:paraId="3896D04D">
      <w:pPr>
        <w:pStyle w:val="27"/>
        <w:numPr>
          <w:ilvl w:val="0"/>
          <w:numId w:val="11"/>
        </w:numPr>
      </w:pPr>
      <w:r>
        <w:rPr>
          <w:rFonts w:hint="eastAsia"/>
          <w:b/>
          <w:bCs/>
        </w:rPr>
        <w:t>Relayappid：</w:t>
      </w:r>
      <w:r>
        <w:t xml:space="preserve"> </w:t>
      </w:r>
      <w:r>
        <w:rPr>
          <w:rFonts w:hint="eastAsia"/>
        </w:rPr>
        <w:t>若”接入模式”选中”一对多中继模式”或”多对多中继模式”，该项必填。在”双十”筛查中，会将命中”双十”条件的</w:t>
      </w:r>
      <w:r>
        <w:t xml:space="preserve"> appid </w:t>
      </w:r>
      <w:r>
        <w:rPr>
          <w:rFonts w:hint="eastAsia"/>
        </w:rPr>
        <w:t>于此处的</w:t>
      </w:r>
      <w:r>
        <w:t xml:space="preserve"> relayappid </w:t>
      </w:r>
      <w:r>
        <w:rPr>
          <w:rFonts w:hint="eastAsia"/>
        </w:rPr>
        <w:t>进行匹配，判断是否报备。</w:t>
      </w:r>
    </w:p>
    <w:p w14:paraId="20244AA1">
      <w:pPr>
        <w:pStyle w:val="27"/>
        <w:numPr>
          <w:ilvl w:val="0"/>
          <w:numId w:val="11"/>
        </w:numPr>
      </w:pPr>
      <w:r>
        <w:rPr>
          <w:rFonts w:hint="eastAsia"/>
          <w:b/>
          <w:bCs/>
        </w:rPr>
        <w:t>采购模式：</w:t>
      </w:r>
      <w:r>
        <w:t xml:space="preserve"> </w:t>
      </w:r>
      <w:r>
        <w:rPr>
          <w:rFonts w:hint="eastAsia"/>
        </w:rPr>
        <w:t>非必填，下拉单选，记录该软件的采购模式。</w:t>
      </w:r>
    </w:p>
    <w:p w14:paraId="1809271D">
      <w:pPr>
        <w:pStyle w:val="27"/>
        <w:numPr>
          <w:ilvl w:val="0"/>
          <w:numId w:val="11"/>
        </w:numPr>
      </w:pPr>
      <w:r>
        <w:rPr>
          <w:rFonts w:hint="eastAsia"/>
          <w:b/>
          <w:bCs/>
        </w:rPr>
        <w:t>交易指令执行方式：</w:t>
      </w:r>
      <w:r>
        <w:t xml:space="preserve"> </w:t>
      </w:r>
      <w:r>
        <w:rPr>
          <w:rFonts w:hint="eastAsia"/>
        </w:rPr>
        <w:t>多选，记录客户交易指令的执行方式。监控中心报备文件涵盖此信息项，建议维护。</w:t>
      </w:r>
    </w:p>
    <w:p w14:paraId="41B6E502">
      <w:pPr>
        <w:pStyle w:val="27"/>
        <w:numPr>
          <w:ilvl w:val="0"/>
          <w:numId w:val="11"/>
        </w:numPr>
      </w:pPr>
      <w:r>
        <w:rPr>
          <w:rFonts w:hint="eastAsia"/>
          <w:b/>
          <w:bCs/>
        </w:rPr>
        <w:t>程序化交易负责人、程序化交易负责人联系电话、产品管理人：</w:t>
      </w:r>
      <w:r>
        <w:t xml:space="preserve"> </w:t>
      </w:r>
      <w:r>
        <w:rPr>
          <w:rFonts w:hint="eastAsia"/>
        </w:rPr>
        <w:t>监控中心报备文件涵盖此信息项，建议维护。</w:t>
      </w:r>
    </w:p>
    <w:p w14:paraId="669FF59A">
      <w:pPr>
        <w:pStyle w:val="27"/>
        <w:numPr>
          <w:ilvl w:val="0"/>
          <w:numId w:val="11"/>
        </w:numPr>
      </w:pPr>
      <w:r>
        <w:rPr>
          <w:rFonts w:hint="eastAsia"/>
          <w:b/>
          <w:bCs/>
        </w:rPr>
        <w:t>是否高频：</w:t>
      </w:r>
      <w:r>
        <w:t xml:space="preserve"> </w:t>
      </w:r>
      <w:r>
        <w:rPr>
          <w:rFonts w:hint="eastAsia"/>
        </w:rPr>
        <w:t>必填，下拉单选，记录该客户是否为高频交易客户。若”是”，则下方”高频策略”、“服务器所在地”</w:t>
      </w:r>
      <w:r>
        <w:t>、</w:t>
      </w:r>
      <w:r>
        <w:rPr>
          <w:rFonts w:hint="eastAsia"/>
        </w:rPr>
        <w:t>“报备的每秒最高报撤单频率”</w:t>
      </w:r>
      <w:r>
        <w:t>、</w:t>
      </w:r>
      <w:r>
        <w:rPr>
          <w:rFonts w:hint="eastAsia"/>
        </w:rPr>
        <w:t>“报备的单日最高报撤单笔数”不可为空。</w:t>
      </w:r>
    </w:p>
    <w:p w14:paraId="5DB6A919">
      <w:pPr>
        <w:pStyle w:val="27"/>
        <w:numPr>
          <w:ilvl w:val="0"/>
          <w:numId w:val="11"/>
        </w:numPr>
      </w:pPr>
      <w:r>
        <w:rPr>
          <w:rFonts w:hint="eastAsia"/>
          <w:b/>
          <w:bCs/>
        </w:rPr>
        <w:t>程序化使用申请日期：</w:t>
      </w:r>
      <w:r>
        <w:t xml:space="preserve"> </w:t>
      </w:r>
      <w:r>
        <w:rPr>
          <w:rFonts w:hint="eastAsia"/>
        </w:rPr>
        <w:t>维护该客户提交程序化申请的日期。</w:t>
      </w:r>
    </w:p>
    <w:p w14:paraId="78F18B91">
      <w:pPr>
        <w:pStyle w:val="27"/>
        <w:numPr>
          <w:ilvl w:val="0"/>
          <w:numId w:val="11"/>
        </w:numPr>
      </w:pPr>
      <w:r>
        <w:rPr>
          <w:rFonts w:hint="eastAsia"/>
          <w:b/>
          <w:bCs/>
        </w:rPr>
        <w:t>程序化使用报告日期：</w:t>
      </w:r>
      <w:r>
        <w:t xml:space="preserve"> </w:t>
      </w:r>
      <w:r>
        <w:rPr>
          <w:rFonts w:hint="eastAsia"/>
        </w:rPr>
        <w:t>必填，维护该客户的程序化申请报备到监控中心的日期。</w:t>
      </w:r>
    </w:p>
    <w:p w14:paraId="0AFC71A4">
      <w:pPr>
        <w:pStyle w:val="27"/>
        <w:numPr>
          <w:ilvl w:val="0"/>
          <w:numId w:val="11"/>
        </w:numPr>
      </w:pPr>
      <w:r>
        <w:rPr>
          <w:rFonts w:hint="eastAsia"/>
          <w:b/>
          <w:bCs/>
        </w:rPr>
        <w:t>已报备交易所：</w:t>
      </w:r>
      <w:r>
        <w:t xml:space="preserve"> </w:t>
      </w:r>
      <w:r>
        <w:rPr>
          <w:rFonts w:hint="eastAsia"/>
        </w:rPr>
        <w:t>必填，多选，维护该客户该软件已报备哪几所交易所。保存后系统将会根据已选择的交易所数量自动拆分成多条数据，即在该菜单中，1</w:t>
      </w:r>
      <w:r>
        <w:t xml:space="preserve"> </w:t>
      </w:r>
      <w:r>
        <w:rPr>
          <w:rFonts w:hint="eastAsia"/>
        </w:rPr>
        <w:t>个客户</w:t>
      </w:r>
      <w:r>
        <w:t xml:space="preserve"> + 1 </w:t>
      </w:r>
      <w:r>
        <w:rPr>
          <w:rFonts w:hint="eastAsia"/>
        </w:rPr>
        <w:t>个软件</w:t>
      </w:r>
      <w:r>
        <w:t xml:space="preserve"> + 1 </w:t>
      </w:r>
      <w:r>
        <w:rPr>
          <w:rFonts w:hint="eastAsia"/>
        </w:rPr>
        <w:t>个交易所为一条数据。</w:t>
      </w:r>
    </w:p>
    <w:p w14:paraId="1163AAE8">
      <w:pPr>
        <w:pStyle w:val="27"/>
        <w:numPr>
          <w:ilvl w:val="0"/>
          <w:numId w:val="11"/>
        </w:numPr>
      </w:pPr>
      <w:r>
        <w:rPr>
          <w:rFonts w:hint="eastAsia"/>
          <w:b/>
          <w:bCs/>
        </w:rPr>
        <w:t>接入注销日期：</w:t>
      </w:r>
      <w:r>
        <w:t xml:space="preserve"> </w:t>
      </w:r>
      <w:r>
        <w:rPr>
          <w:rFonts w:hint="eastAsia"/>
        </w:rPr>
        <w:t>维护该客户退出接入、注销接入的日期。</w:t>
      </w:r>
    </w:p>
    <w:p w14:paraId="4441C760">
      <w:pPr>
        <w:pStyle w:val="27"/>
        <w:numPr>
          <w:ilvl w:val="0"/>
          <w:numId w:val="11"/>
        </w:numPr>
      </w:pPr>
      <w:r>
        <w:rPr>
          <w:rFonts w:hint="eastAsia"/>
          <w:b/>
          <w:bCs/>
        </w:rPr>
        <w:t>风险等级：</w:t>
      </w:r>
      <w:r>
        <w:t xml:space="preserve"> </w:t>
      </w:r>
      <w:r>
        <w:rPr>
          <w:rFonts w:hint="eastAsia"/>
        </w:rPr>
        <w:t>默认为”低”，用于管理外接客户风险等级。</w:t>
      </w:r>
    </w:p>
    <w:p w14:paraId="38108CEC">
      <w:pPr>
        <w:pStyle w:val="27"/>
        <w:numPr>
          <w:ilvl w:val="0"/>
          <w:numId w:val="11"/>
        </w:numPr>
      </w:pPr>
      <w:r>
        <w:rPr>
          <w:rFonts w:hint="eastAsia"/>
          <w:b/>
          <w:bCs/>
        </w:rPr>
        <w:t>承诺书、风险提示书、尽职调查表、测试报告：</w:t>
      </w:r>
      <w:r>
        <w:t xml:space="preserve"> </w:t>
      </w:r>
      <w:r>
        <w:rPr>
          <w:rFonts w:hint="eastAsia"/>
        </w:rPr>
        <w:t>提供上传外接非程序化客户的接入申请相关附件。</w:t>
      </w:r>
    </w:p>
    <w:p w14:paraId="10169783">
      <w:pPr>
        <w:pStyle w:val="13"/>
      </w:pPr>
      <w:r>
        <w:rPr>
          <w:rFonts w:hint="eastAsia"/>
          <w:b/>
          <w:bCs/>
        </w:rPr>
        <w:t>提示</w:t>
      </w:r>
    </w:p>
    <w:p w14:paraId="449FB87A">
      <w:pPr>
        <w:pStyle w:val="52"/>
      </w:pPr>
      <w:r>
        <w:rPr>
          <w:rStyle w:val="51"/>
          <w:rFonts w:hint="eastAsia"/>
        </w:rPr>
        <w:t>支持归档到德索【影像资料】模块，初始化时需创建影像参数后方可归档，请联系德索支持。</w:t>
      </w:r>
    </w:p>
    <w:p w14:paraId="0B122262">
      <w:pPr>
        <w:pStyle w:val="26"/>
      </w:pPr>
      <w:r>
        <w:rPr>
          <w:rFonts w:hint="eastAsia"/>
          <w:b/>
          <w:bCs/>
        </w:rPr>
        <w:t>2）excel</w:t>
      </w:r>
      <w:r>
        <w:rPr>
          <w:b/>
          <w:bCs/>
        </w:rPr>
        <w:t xml:space="preserve"> </w:t>
      </w:r>
      <w:r>
        <w:rPr>
          <w:rFonts w:hint="eastAsia"/>
          <w:b/>
          <w:bCs/>
        </w:rPr>
        <w:t>模板批量导入</w:t>
      </w:r>
    </w:p>
    <w:p w14:paraId="6D41E616">
      <w:pPr>
        <w:pStyle w:val="3"/>
      </w:pPr>
      <w:r>
        <w:rPr>
          <w:rFonts w:hint="eastAsia"/>
        </w:rPr>
        <w:t>点击”下载模板”按钮，下载系统提供的默认模板，在模板中维护所需导入的外接非程序化客户。点击”导入”按钮，上传维护好的</w:t>
      </w:r>
      <w:r>
        <w:t xml:space="preserve"> excel </w:t>
      </w:r>
      <w:r>
        <w:rPr>
          <w:rFonts w:hint="eastAsia"/>
        </w:rPr>
        <w:t>模板。</w:t>
      </w:r>
    </w:p>
    <w:p w14:paraId="6EE103DB">
      <w:pPr>
        <w:pStyle w:val="3"/>
      </w:pPr>
      <w:r>
        <w:drawing>
          <wp:inline distT="0" distB="0" distL="114300" distR="114300">
            <wp:extent cx="5334000" cy="1159510"/>
            <wp:effectExtent l="0" t="0" r="0" b="0"/>
            <wp:docPr id="79" name="Picture" descr="程序化客户 excel 导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descr="程序化客户 excel 导入"/>
                    <pic:cNvPicPr>
                      <a:picLocks noChangeAspect="1" noChangeArrowheads="1"/>
                    </pic:cNvPicPr>
                  </pic:nvPicPr>
                  <pic:blipFill>
                    <a:blip r:embed="rId16"/>
                    <a:stretch>
                      <a:fillRect/>
                    </a:stretch>
                  </pic:blipFill>
                  <pic:spPr>
                    <a:xfrm>
                      <a:off x="0" y="0"/>
                      <a:ext cx="5334000" cy="1159565"/>
                    </a:xfrm>
                    <a:prstGeom prst="rect">
                      <a:avLst/>
                    </a:prstGeom>
                    <a:noFill/>
                    <a:ln w="9525">
                      <a:noFill/>
                    </a:ln>
                  </pic:spPr>
                </pic:pic>
              </a:graphicData>
            </a:graphic>
          </wp:inline>
        </w:drawing>
      </w:r>
    </w:p>
    <w:p w14:paraId="1BB2149B">
      <w:pPr>
        <w:pStyle w:val="3"/>
      </w:pPr>
      <w:r>
        <w:t xml:space="preserve">excel </w:t>
      </w:r>
      <w:r>
        <w:rPr>
          <w:rFonts w:hint="eastAsia"/>
        </w:rPr>
        <w:t>模板维护注意事项：</w:t>
      </w:r>
    </w:p>
    <w:p w14:paraId="5D2B773C">
      <w:pPr>
        <w:pStyle w:val="27"/>
        <w:numPr>
          <w:ilvl w:val="0"/>
          <w:numId w:val="12"/>
        </w:numPr>
      </w:pPr>
      <w:r>
        <w:t xml:space="preserve">excel </w:t>
      </w:r>
      <w:r>
        <w:rPr>
          <w:rFonts w:hint="eastAsia"/>
        </w:rPr>
        <w:t>模板中必填的信息项，因各家期货公司会有个性化调整，请参考”新增”页面中打星号的信息项。</w:t>
      </w:r>
    </w:p>
    <w:p w14:paraId="787547ED">
      <w:pPr>
        <w:pStyle w:val="26"/>
      </w:pPr>
      <w:r>
        <w:drawing>
          <wp:inline distT="0" distB="0" distL="114300" distR="114300">
            <wp:extent cx="5334000" cy="3377565"/>
            <wp:effectExtent l="0" t="0" r="0" b="0"/>
            <wp:docPr id="81" name="Picture" descr="程序化客户 excel 必填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descr="程序化客户 excel 必填项"/>
                    <pic:cNvPicPr>
                      <a:picLocks noChangeAspect="1" noChangeArrowheads="1"/>
                    </pic:cNvPicPr>
                  </pic:nvPicPr>
                  <pic:blipFill>
                    <a:blip r:embed="rId17"/>
                    <a:stretch>
                      <a:fillRect/>
                    </a:stretch>
                  </pic:blipFill>
                  <pic:spPr>
                    <a:xfrm>
                      <a:off x="0" y="0"/>
                      <a:ext cx="5334000" cy="3377780"/>
                    </a:xfrm>
                    <a:prstGeom prst="rect">
                      <a:avLst/>
                    </a:prstGeom>
                    <a:noFill/>
                    <a:ln w="9525">
                      <a:noFill/>
                    </a:ln>
                  </pic:spPr>
                </pic:pic>
              </a:graphicData>
            </a:graphic>
          </wp:inline>
        </w:drawing>
      </w:r>
    </w:p>
    <w:p w14:paraId="1C130B1A">
      <w:pPr>
        <w:pStyle w:val="27"/>
        <w:numPr>
          <w:ilvl w:val="0"/>
          <w:numId w:val="13"/>
        </w:numPr>
      </w:pPr>
      <w:r>
        <w:rPr>
          <w:rFonts w:hint="eastAsia"/>
        </w:rPr>
        <w:t>请根据</w:t>
      </w:r>
      <w:r>
        <w:t xml:space="preserve"> excel </w:t>
      </w:r>
      <w:r>
        <w:rPr>
          <w:rFonts w:hint="eastAsia"/>
        </w:rPr>
        <w:t>模板中”码表”sheet</w:t>
      </w:r>
      <w:r>
        <w:t xml:space="preserve"> </w:t>
      </w:r>
      <w:r>
        <w:rPr>
          <w:rFonts w:hint="eastAsia"/>
        </w:rPr>
        <w:t>页所提供的</w:t>
      </w:r>
      <w:r>
        <w:rPr>
          <w:rFonts w:hint="eastAsia"/>
          <w:b/>
          <w:bCs/>
        </w:rPr>
        <w:t>代码</w:t>
      </w:r>
      <w:r>
        <w:rPr>
          <w:rFonts w:hint="eastAsia"/>
        </w:rPr>
        <w:t>填写。（不可直接填写中文码值）</w:t>
      </w:r>
    </w:p>
    <w:p w14:paraId="5727A0A8">
      <w:pPr>
        <w:pStyle w:val="26"/>
      </w:pPr>
      <w:r>
        <w:drawing>
          <wp:inline distT="0" distB="0" distL="114300" distR="114300">
            <wp:extent cx="5334000" cy="2364105"/>
            <wp:effectExtent l="0" t="0" r="0" b="0"/>
            <wp:docPr id="83" name="Picture" descr="程序化客户码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descr="程序化客户码表"/>
                    <pic:cNvPicPr>
                      <a:picLocks noChangeAspect="1" noChangeArrowheads="1"/>
                    </pic:cNvPicPr>
                  </pic:nvPicPr>
                  <pic:blipFill>
                    <a:blip r:embed="rId18"/>
                    <a:stretch>
                      <a:fillRect/>
                    </a:stretch>
                  </pic:blipFill>
                  <pic:spPr>
                    <a:xfrm>
                      <a:off x="0" y="0"/>
                      <a:ext cx="5334000" cy="2364428"/>
                    </a:xfrm>
                    <a:prstGeom prst="rect">
                      <a:avLst/>
                    </a:prstGeom>
                    <a:noFill/>
                    <a:ln w="9525">
                      <a:noFill/>
                    </a:ln>
                  </pic:spPr>
                </pic:pic>
              </a:graphicData>
            </a:graphic>
          </wp:inline>
        </w:drawing>
      </w:r>
    </w:p>
    <w:p w14:paraId="17D1A8E7">
      <w:pPr>
        <w:pStyle w:val="27"/>
        <w:numPr>
          <w:ilvl w:val="0"/>
          <w:numId w:val="14"/>
        </w:numPr>
      </w:pPr>
      <w:r>
        <w:rPr>
          <w:rFonts w:hint="eastAsia"/>
        </w:rPr>
        <w:t>附件不支持通过</w:t>
      </w:r>
      <w:r>
        <w:t xml:space="preserve"> excel </w:t>
      </w:r>
      <w:r>
        <w:rPr>
          <w:rFonts w:hint="eastAsia"/>
        </w:rPr>
        <w:t>模板的方式批量导入。</w:t>
      </w:r>
    </w:p>
    <w:p w14:paraId="0594EA59">
      <w:pPr>
        <w:pStyle w:val="26"/>
      </w:pPr>
      <w:r>
        <w:rPr>
          <w:rFonts w:hint="eastAsia"/>
          <w:b/>
          <w:bCs/>
        </w:rPr>
        <w:t>3）监控中心模板批量导入</w:t>
      </w:r>
    </w:p>
    <w:p w14:paraId="08EEA1D9">
      <w:pPr>
        <w:pStyle w:val="3"/>
      </w:pPr>
      <w:r>
        <w:rPr>
          <w:rFonts w:hint="eastAsia"/>
        </w:rPr>
        <w:t>点击”监控中心模板导入”按钮，在本地选中从监控中心导出的客户信息文件，点击上传。</w:t>
      </w:r>
    </w:p>
    <w:p w14:paraId="5588CDBD">
      <w:pPr>
        <w:pStyle w:val="3"/>
      </w:pPr>
      <w:r>
        <w:drawing>
          <wp:inline distT="0" distB="0" distL="114300" distR="114300">
            <wp:extent cx="5334000" cy="1361440"/>
            <wp:effectExtent l="0" t="0" r="0" b="0"/>
            <wp:docPr id="86" name="Picture" descr="监控中心模板导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descr="监控中心模板导入"/>
                    <pic:cNvPicPr>
                      <a:picLocks noChangeAspect="1" noChangeArrowheads="1"/>
                    </pic:cNvPicPr>
                  </pic:nvPicPr>
                  <pic:blipFill>
                    <a:blip r:embed="rId22"/>
                    <a:stretch>
                      <a:fillRect/>
                    </a:stretch>
                  </pic:blipFill>
                  <pic:spPr>
                    <a:xfrm>
                      <a:off x="0" y="0"/>
                      <a:ext cx="5334000" cy="1362028"/>
                    </a:xfrm>
                    <a:prstGeom prst="rect">
                      <a:avLst/>
                    </a:prstGeom>
                    <a:noFill/>
                    <a:ln w="9525">
                      <a:noFill/>
                    </a:ln>
                  </pic:spPr>
                </pic:pic>
              </a:graphicData>
            </a:graphic>
          </wp:inline>
        </w:drawing>
      </w:r>
    </w:p>
    <w:p w14:paraId="4B386FD3">
      <w:pPr>
        <w:pStyle w:val="3"/>
      </w:pPr>
      <w:r>
        <w:rPr>
          <w:rFonts w:hint="eastAsia"/>
          <w:b/>
          <w:bCs/>
        </w:rPr>
        <w:t>填报示例和数据说明</w:t>
      </w:r>
    </w:p>
    <w:p w14:paraId="742B18F1">
      <w:pPr>
        <w:pStyle w:val="3"/>
      </w:pPr>
      <w:r>
        <w:rPr>
          <w:rFonts w:hint="eastAsia"/>
        </w:rPr>
        <w:t>系统中，程序化交易客户信息</w:t>
      </w:r>
      <w:r>
        <w:rPr>
          <w:rFonts w:hint="eastAsia"/>
          <w:b/>
          <w:bCs/>
        </w:rPr>
        <w:t>按交易所逐条</w:t>
      </w:r>
      <w:r>
        <w:rPr>
          <w:rFonts w:hint="eastAsia"/>
        </w:rPr>
        <w:t>记录报备历史，即</w:t>
      </w:r>
      <w:r>
        <w:t xml:space="preserve"> </w:t>
      </w:r>
      <w:r>
        <w:rPr>
          <w:b/>
          <w:bCs/>
        </w:rPr>
        <w:t xml:space="preserve">1 </w:t>
      </w:r>
      <w:r>
        <w:rPr>
          <w:rFonts w:hint="eastAsia"/>
          <w:b/>
          <w:bCs/>
        </w:rPr>
        <w:t>个客户</w:t>
      </w:r>
      <w:r>
        <w:rPr>
          <w:b/>
          <w:bCs/>
        </w:rPr>
        <w:t xml:space="preserve"> 1 </w:t>
      </w:r>
      <w:r>
        <w:rPr>
          <w:rFonts w:hint="eastAsia"/>
          <w:b/>
          <w:bCs/>
        </w:rPr>
        <w:t>个软件报备了</w:t>
      </w:r>
      <w:r>
        <w:rPr>
          <w:b/>
          <w:bCs/>
        </w:rPr>
        <w:t xml:space="preserve"> N </w:t>
      </w:r>
      <w:r>
        <w:rPr>
          <w:rFonts w:hint="eastAsia"/>
          <w:b/>
          <w:bCs/>
        </w:rPr>
        <w:t>个交易所</w:t>
      </w:r>
      <w:r>
        <w:rPr>
          <w:rFonts w:hint="eastAsia"/>
        </w:rPr>
        <w:t>，系统将</w:t>
      </w:r>
      <w:r>
        <w:rPr>
          <w:rFonts w:hint="eastAsia"/>
          <w:b/>
          <w:bCs/>
        </w:rPr>
        <w:t>记录</w:t>
      </w:r>
      <w:r>
        <w:rPr>
          <w:b/>
          <w:bCs/>
        </w:rPr>
        <w:t xml:space="preserve"> N </w:t>
      </w:r>
      <w:r>
        <w:rPr>
          <w:rFonts w:hint="eastAsia"/>
          <w:b/>
          <w:bCs/>
        </w:rPr>
        <w:t>条</w:t>
      </w:r>
      <w:r>
        <w:rPr>
          <w:rFonts w:hint="eastAsia"/>
        </w:rPr>
        <w:t>数据。为了提高录入效率，系统将会根据所选中的</w:t>
      </w:r>
      <w:r>
        <w:t xml:space="preserve"> N </w:t>
      </w:r>
      <w:r>
        <w:rPr>
          <w:rFonts w:hint="eastAsia"/>
        </w:rPr>
        <w:t>个交易所，自动拆分成</w:t>
      </w:r>
      <w:r>
        <w:t xml:space="preserve"> N </w:t>
      </w:r>
      <w:r>
        <w:rPr>
          <w:rFonts w:hint="eastAsia"/>
        </w:rPr>
        <w:t>条数据，无需录入多次。</w:t>
      </w:r>
    </w:p>
    <w:p w14:paraId="1426AC1D">
      <w:pPr>
        <w:pStyle w:val="3"/>
      </w:pPr>
      <w:r>
        <w:drawing>
          <wp:inline distT="0" distB="0" distL="114300" distR="114300">
            <wp:extent cx="5334000" cy="1320165"/>
            <wp:effectExtent l="0" t="0" r="0" b="0"/>
            <wp:docPr id="89" name="Picture" descr="按交易所拆分示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descr="按交易所拆分示意"/>
                    <pic:cNvPicPr>
                      <a:picLocks noChangeAspect="1" noChangeArrowheads="1"/>
                    </pic:cNvPicPr>
                  </pic:nvPicPr>
                  <pic:blipFill>
                    <a:blip r:embed="rId23"/>
                    <a:stretch>
                      <a:fillRect/>
                    </a:stretch>
                  </pic:blipFill>
                  <pic:spPr>
                    <a:xfrm>
                      <a:off x="0" y="0"/>
                      <a:ext cx="5334000" cy="1320765"/>
                    </a:xfrm>
                    <a:prstGeom prst="rect">
                      <a:avLst/>
                    </a:prstGeom>
                    <a:noFill/>
                    <a:ln w="9525">
                      <a:noFill/>
                    </a:ln>
                  </pic:spPr>
                </pic:pic>
              </a:graphicData>
            </a:graphic>
          </wp:inline>
        </w:drawing>
      </w:r>
    </w:p>
    <w:p w14:paraId="2DA3725A">
      <w:pPr>
        <w:pStyle w:val="3"/>
      </w:pPr>
      <w:r>
        <w:rPr>
          <w:rFonts w:hint="eastAsia"/>
          <w:b/>
          <w:bCs/>
        </w:rPr>
        <w:t>程序化交易客户信息审核</w:t>
      </w:r>
    </w:p>
    <w:p w14:paraId="066EECD9">
      <w:pPr>
        <w:pStyle w:val="3"/>
      </w:pPr>
      <w:r>
        <w:rPr>
          <w:rFonts w:hint="eastAsia"/>
        </w:rPr>
        <w:t>系统支持</w:t>
      </w:r>
      <w:r>
        <w:rPr>
          <w:rFonts w:hint="eastAsia"/>
          <w:b/>
          <w:bCs/>
        </w:rPr>
        <w:t>数据变更审核</w:t>
      </w:r>
      <w:r>
        <w:rPr>
          <w:rFonts w:hint="eastAsia"/>
        </w:rPr>
        <w:t>机制，审核通过后数据方正式生效，并同步至【程序化交易客户信息查询】菜单。未经过审核后的信息不展示在【查询】页面。</w:t>
      </w:r>
    </w:p>
    <w:p w14:paraId="6F505DE7">
      <w:pPr>
        <w:pStyle w:val="13"/>
      </w:pPr>
      <w:r>
        <w:rPr>
          <w:rFonts w:hint="eastAsia"/>
          <w:b/>
          <w:bCs/>
        </w:rPr>
        <w:t>说明</w:t>
      </w:r>
    </w:p>
    <w:p w14:paraId="2F5317CD">
      <w:pPr>
        <w:pStyle w:val="13"/>
      </w:pPr>
      <w:r>
        <w:rPr>
          <w:rFonts w:hint="eastAsia"/>
        </w:rPr>
        <w:t>版本部署后初始化默认不开启审核机制，如需开启请与德索联系。</w:t>
      </w:r>
    </w:p>
    <w:p w14:paraId="20952259">
      <w:pPr>
        <w:pStyle w:val="26"/>
      </w:pPr>
      <w:r>
        <w:drawing>
          <wp:inline distT="0" distB="0" distL="114300" distR="114300">
            <wp:extent cx="5334000" cy="1445260"/>
            <wp:effectExtent l="0" t="0" r="0" b="0"/>
            <wp:docPr id="92" name="Picture" descr="程序化客户审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descr="程序化客户审核"/>
                    <pic:cNvPicPr>
                      <a:picLocks noChangeAspect="1" noChangeArrowheads="1"/>
                    </pic:cNvPicPr>
                  </pic:nvPicPr>
                  <pic:blipFill>
                    <a:blip r:embed="rId24"/>
                    <a:stretch>
                      <a:fillRect/>
                    </a:stretch>
                  </pic:blipFill>
                  <pic:spPr>
                    <a:xfrm>
                      <a:off x="0" y="0"/>
                      <a:ext cx="5334000" cy="1445752"/>
                    </a:xfrm>
                    <a:prstGeom prst="rect">
                      <a:avLst/>
                    </a:prstGeom>
                    <a:noFill/>
                    <a:ln w="9525">
                      <a:noFill/>
                    </a:ln>
                  </pic:spPr>
                </pic:pic>
              </a:graphicData>
            </a:graphic>
          </wp:inline>
        </w:drawing>
      </w:r>
    </w:p>
    <w:p w14:paraId="30BCA996">
      <w:pPr>
        <w:pStyle w:val="3"/>
      </w:pPr>
      <w:r>
        <w:rPr>
          <w:rFonts w:hint="eastAsia"/>
          <w:b/>
          <w:bCs/>
        </w:rPr>
        <w:t>程序化交易客户信息查询</w:t>
      </w:r>
    </w:p>
    <w:p w14:paraId="233D75C7">
      <w:pPr>
        <w:pStyle w:val="3"/>
      </w:pPr>
      <w:r>
        <w:rPr>
          <w:rFonts w:hint="eastAsia"/>
        </w:rPr>
        <w:t>展示所有审核通过的有效的程序化交易客户信息。</w:t>
      </w:r>
    </w:p>
    <w:p w14:paraId="7B193B1C">
      <w:pPr>
        <w:pStyle w:val="3"/>
      </w:pPr>
      <w:r>
        <w:drawing>
          <wp:inline distT="0" distB="0" distL="114300" distR="114300">
            <wp:extent cx="5334000" cy="1403350"/>
            <wp:effectExtent l="0" t="0" r="0" b="0"/>
            <wp:docPr id="95" name="Picture" descr="程序化客户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descr="程序化客户查询"/>
                    <pic:cNvPicPr>
                      <a:picLocks noChangeAspect="1" noChangeArrowheads="1"/>
                    </pic:cNvPicPr>
                  </pic:nvPicPr>
                  <pic:blipFill>
                    <a:blip r:embed="rId25"/>
                    <a:stretch>
                      <a:fillRect/>
                    </a:stretch>
                  </pic:blipFill>
                  <pic:spPr>
                    <a:xfrm>
                      <a:off x="0" y="0"/>
                      <a:ext cx="5334000" cy="1403832"/>
                    </a:xfrm>
                    <a:prstGeom prst="rect">
                      <a:avLst/>
                    </a:prstGeom>
                    <a:noFill/>
                    <a:ln w="9525">
                      <a:noFill/>
                    </a:ln>
                  </pic:spPr>
                </pic:pic>
              </a:graphicData>
            </a:graphic>
          </wp:inline>
        </w:drawing>
      </w:r>
    </w:p>
    <w:p w14:paraId="6144323D">
      <w:pPr>
        <w:pStyle w:val="3"/>
      </w:pPr>
      <w:r>
        <w:rPr>
          <w:rFonts w:hint="eastAsia"/>
          <w:b/>
          <w:bCs/>
        </w:rPr>
        <w:t>导出报备文件</w:t>
      </w:r>
    </w:p>
    <w:p w14:paraId="5DC6825B">
      <w:pPr>
        <w:pStyle w:val="3"/>
      </w:pPr>
      <w:r>
        <w:rPr>
          <w:rFonts w:hint="eastAsia"/>
        </w:rPr>
        <w:t>支持导出可以直接报送到监控中心的</w:t>
      </w:r>
      <w:r>
        <w:t xml:space="preserve"> excel </w:t>
      </w:r>
      <w:r>
        <w:rPr>
          <w:rFonts w:hint="eastAsia"/>
        </w:rPr>
        <w:t>文件。</w:t>
      </w:r>
    </w:p>
    <w:p w14:paraId="31473CF6">
      <w:pPr>
        <w:pStyle w:val="3"/>
      </w:pPr>
      <w:r>
        <w:drawing>
          <wp:inline distT="0" distB="0" distL="114300" distR="114300">
            <wp:extent cx="5334000" cy="1434465"/>
            <wp:effectExtent l="0" t="0" r="0" b="0"/>
            <wp:docPr id="98" name="Picture" descr="导出报备文件按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descr="导出报备文件按钮"/>
                    <pic:cNvPicPr>
                      <a:picLocks noChangeAspect="1" noChangeArrowheads="1"/>
                    </pic:cNvPicPr>
                  </pic:nvPicPr>
                  <pic:blipFill>
                    <a:blip r:embed="rId26"/>
                    <a:stretch>
                      <a:fillRect/>
                    </a:stretch>
                  </pic:blipFill>
                  <pic:spPr>
                    <a:xfrm>
                      <a:off x="0" y="0"/>
                      <a:ext cx="5334000" cy="1434819"/>
                    </a:xfrm>
                    <a:prstGeom prst="rect">
                      <a:avLst/>
                    </a:prstGeom>
                    <a:noFill/>
                    <a:ln w="9525">
                      <a:noFill/>
                    </a:ln>
                  </pic:spPr>
                </pic:pic>
              </a:graphicData>
            </a:graphic>
          </wp:inline>
        </w:drawing>
      </w:r>
    </w:p>
    <w:p w14:paraId="3E5F45B7">
      <w:pPr>
        <w:pStyle w:val="3"/>
      </w:pPr>
      <w:r>
        <w:rPr>
          <w:rFonts w:hint="eastAsia"/>
        </w:rPr>
        <w:t>点击页面中的</w:t>
      </w:r>
      <w:r>
        <w:rPr>
          <w:rFonts w:hint="eastAsia"/>
          <w:b/>
          <w:bCs/>
        </w:rPr>
        <w:t>“按模板导出”</w:t>
      </w:r>
      <w:r>
        <w:rPr>
          <w:rFonts w:hint="eastAsia"/>
        </w:rPr>
        <w:t>，将当前查询结果中的客户报备信息批量导出。</w:t>
      </w:r>
    </w:p>
    <w:p w14:paraId="75CFD758">
      <w:pPr>
        <w:pStyle w:val="3"/>
      </w:pPr>
      <w:r>
        <w:rPr>
          <w:rFonts w:hint="eastAsia"/>
        </w:rPr>
        <w:t>若只需要导出单个客户，请在查询条件中输入”投资者代码”查询后再执行导出操作。</w:t>
      </w:r>
    </w:p>
    <w:p w14:paraId="1F156147">
      <w:pPr>
        <w:pStyle w:val="13"/>
      </w:pPr>
      <w:r>
        <w:rPr>
          <w:rFonts w:hint="eastAsia"/>
          <w:b/>
          <w:bCs/>
        </w:rPr>
        <w:t>注意区分两个按钮</w:t>
      </w:r>
    </w:p>
    <w:p w14:paraId="1E6E7EE1">
      <w:pPr>
        <w:pStyle w:val="13"/>
      </w:pPr>
      <w:r>
        <w:rPr>
          <w:rFonts w:hint="eastAsia"/>
        </w:rPr>
        <w:t>“导出”仅导出当前筛查结果数据清单；“按模板导出”才是报送到监控中心的报备文件。</w:t>
      </w:r>
    </w:p>
    <w:p w14:paraId="093AEB60">
      <w:pPr>
        <w:pStyle w:val="26"/>
      </w:pPr>
      <w:r>
        <w:drawing>
          <wp:inline distT="0" distB="0" distL="114300" distR="114300">
            <wp:extent cx="5334000" cy="1839595"/>
            <wp:effectExtent l="0" t="0" r="0" b="0"/>
            <wp:docPr id="101" name="Picture" descr="按模板导出 vs 导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descr="按模板导出 vs 导出"/>
                    <pic:cNvPicPr>
                      <a:picLocks noChangeAspect="1" noChangeArrowheads="1"/>
                    </pic:cNvPicPr>
                  </pic:nvPicPr>
                  <pic:blipFill>
                    <a:blip r:embed="rId27"/>
                    <a:stretch>
                      <a:fillRect/>
                    </a:stretch>
                  </pic:blipFill>
                  <pic:spPr>
                    <a:xfrm>
                      <a:off x="0" y="0"/>
                      <a:ext cx="5334000" cy="1840204"/>
                    </a:xfrm>
                    <a:prstGeom prst="rect">
                      <a:avLst/>
                    </a:prstGeom>
                    <a:noFill/>
                    <a:ln w="9525">
                      <a:noFill/>
                    </a:ln>
                  </pic:spPr>
                </pic:pic>
              </a:graphicData>
            </a:graphic>
          </wp:inline>
        </w:drawing>
      </w:r>
    </w:p>
    <w:bookmarkEnd w:id="18"/>
    <w:p w14:paraId="4F775919">
      <w:pPr>
        <w:pStyle w:val="6"/>
      </w:pPr>
      <w:bookmarkStart w:id="19" w:name="程序化客户问询名单维护"/>
      <w:r>
        <w:rPr>
          <w:rFonts w:hint="eastAsia"/>
        </w:rPr>
        <w:t>程序化客户问询名单维护</w:t>
      </w:r>
    </w:p>
    <w:p w14:paraId="6B659888">
      <w:pPr>
        <w:pStyle w:val="26"/>
      </w:pPr>
      <w:r>
        <w:rPr>
          <w:rFonts w:hint="eastAsia"/>
        </w:rPr>
        <w:t>提供【程序化客户问询名单维护】台账表，支持期货公司分别维护交易所下发的重点监控客户名单，按</w:t>
      </w:r>
      <w:r>
        <w:rPr>
          <w:rFonts w:hint="eastAsia"/>
          <w:b/>
          <w:bCs/>
        </w:rPr>
        <w:t>交易编码</w:t>
      </w:r>
      <w:r>
        <w:rPr>
          <w:rFonts w:hint="eastAsia"/>
        </w:rPr>
        <w:t>维度进行名单管理和跟踪。</w:t>
      </w:r>
    </w:p>
    <w:p w14:paraId="5CD5C308">
      <w:pPr>
        <w:pStyle w:val="3"/>
      </w:pPr>
      <w:r>
        <w:drawing>
          <wp:inline distT="0" distB="0" distL="114300" distR="114300">
            <wp:extent cx="5334000" cy="1894840"/>
            <wp:effectExtent l="0" t="0" r="0" b="0"/>
            <wp:docPr id="105" name="Picture" descr="问询名单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descr="问询名单列表"/>
                    <pic:cNvPicPr>
                      <a:picLocks noChangeAspect="1" noChangeArrowheads="1"/>
                    </pic:cNvPicPr>
                  </pic:nvPicPr>
                  <pic:blipFill>
                    <a:blip r:embed="rId28"/>
                    <a:stretch>
                      <a:fillRect/>
                    </a:stretch>
                  </pic:blipFill>
                  <pic:spPr>
                    <a:xfrm>
                      <a:off x="0" y="0"/>
                      <a:ext cx="5334000" cy="1894973"/>
                    </a:xfrm>
                    <a:prstGeom prst="rect">
                      <a:avLst/>
                    </a:prstGeom>
                    <a:noFill/>
                    <a:ln w="9525">
                      <a:noFill/>
                    </a:ln>
                  </pic:spPr>
                </pic:pic>
              </a:graphicData>
            </a:graphic>
          </wp:inline>
        </w:drawing>
      </w:r>
    </w:p>
    <w:p w14:paraId="28579984">
      <w:pPr>
        <w:pStyle w:val="3"/>
      </w:pPr>
      <w:r>
        <w:rPr>
          <w:rFonts w:hint="eastAsia"/>
          <w:b/>
          <w:bCs/>
        </w:rPr>
        <w:t>名单维护</w:t>
      </w:r>
    </w:p>
    <w:p w14:paraId="1665D754">
      <w:pPr>
        <w:pStyle w:val="3"/>
      </w:pPr>
      <w:r>
        <w:rPr>
          <w:rFonts w:hint="eastAsia"/>
        </w:rPr>
        <w:t>支持单条数据新增和</w:t>
      </w:r>
      <w:r>
        <w:t xml:space="preserve"> excel </w:t>
      </w:r>
      <w:r>
        <w:rPr>
          <w:rFonts w:hint="eastAsia"/>
        </w:rPr>
        <w:t>模板批量导入。</w:t>
      </w:r>
    </w:p>
    <w:p w14:paraId="20F26940">
      <w:pPr>
        <w:pStyle w:val="3"/>
      </w:pPr>
      <w:r>
        <w:drawing>
          <wp:inline distT="0" distB="0" distL="114300" distR="114300">
            <wp:extent cx="5334000" cy="1462405"/>
            <wp:effectExtent l="0" t="0" r="0" b="0"/>
            <wp:docPr id="108" name="Picture" descr="名单维护入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descr="名单维护入口"/>
                    <pic:cNvPicPr>
                      <a:picLocks noChangeAspect="1" noChangeArrowheads="1"/>
                    </pic:cNvPicPr>
                  </pic:nvPicPr>
                  <pic:blipFill>
                    <a:blip r:embed="rId29"/>
                    <a:stretch>
                      <a:fillRect/>
                    </a:stretch>
                  </pic:blipFill>
                  <pic:spPr>
                    <a:xfrm>
                      <a:off x="0" y="0"/>
                      <a:ext cx="5334000" cy="1462759"/>
                    </a:xfrm>
                    <a:prstGeom prst="rect">
                      <a:avLst/>
                    </a:prstGeom>
                    <a:noFill/>
                    <a:ln w="9525">
                      <a:noFill/>
                    </a:ln>
                  </pic:spPr>
                </pic:pic>
              </a:graphicData>
            </a:graphic>
          </wp:inline>
        </w:drawing>
      </w:r>
    </w:p>
    <w:p w14:paraId="2E8AB86A">
      <w:pPr>
        <w:pStyle w:val="3"/>
      </w:pPr>
      <w:r>
        <w:rPr>
          <w:rFonts w:hint="eastAsia"/>
          <w:b/>
          <w:bCs/>
        </w:rPr>
        <w:t>1）单条新增</w:t>
      </w:r>
    </w:p>
    <w:p w14:paraId="5A6AB448">
      <w:pPr>
        <w:pStyle w:val="3"/>
      </w:pPr>
      <w:r>
        <w:rPr>
          <w:rFonts w:hint="eastAsia"/>
        </w:rPr>
        <w:t>点击【新增】按钮，跳转到新增名单客户页面。</w:t>
      </w:r>
    </w:p>
    <w:p w14:paraId="4229FBDB">
      <w:pPr>
        <w:pStyle w:val="3"/>
      </w:pPr>
    </w:p>
    <w:p w14:paraId="3C7BDE95">
      <w:pPr>
        <w:pStyle w:val="3"/>
      </w:pPr>
      <w:r>
        <w:rPr>
          <w:rFonts w:hint="eastAsia"/>
        </w:rPr>
        <w:t>填写说明如下：</w:t>
      </w:r>
    </w:p>
    <w:p w14:paraId="00847E01">
      <w:pPr>
        <w:pStyle w:val="27"/>
        <w:numPr>
          <w:ilvl w:val="0"/>
          <w:numId w:val="15"/>
        </w:numPr>
      </w:pPr>
      <w:r>
        <w:rPr>
          <w:rFonts w:hint="eastAsia"/>
          <w:b/>
          <w:bCs/>
        </w:rPr>
        <w:t>客户：</w:t>
      </w:r>
      <w:r>
        <w:t xml:space="preserve"> </w:t>
      </w:r>
      <w:r>
        <w:rPr>
          <w:rFonts w:hint="eastAsia"/>
        </w:rPr>
        <w:t>支持输入交易编码、客户号、客户名称模糊搜索，添加客户；</w:t>
      </w:r>
    </w:p>
    <w:p w14:paraId="355679FF">
      <w:pPr>
        <w:pStyle w:val="27"/>
        <w:numPr>
          <w:ilvl w:val="0"/>
          <w:numId w:val="15"/>
        </w:numPr>
      </w:pPr>
      <w:r>
        <w:rPr>
          <w:rFonts w:hint="eastAsia"/>
          <w:b/>
          <w:bCs/>
        </w:rPr>
        <w:t>交易所：</w:t>
      </w:r>
      <w:r>
        <w:t xml:space="preserve"> </w:t>
      </w:r>
      <w:r>
        <w:rPr>
          <w:rFonts w:hint="eastAsia"/>
        </w:rPr>
        <w:t>根据所选中的交易编码，自动回显对应的交易所名称。单次新增只支持维护一条客户的交易所问询信息；</w:t>
      </w:r>
    </w:p>
    <w:p w14:paraId="07CDDDD5">
      <w:pPr>
        <w:pStyle w:val="27"/>
        <w:numPr>
          <w:ilvl w:val="0"/>
          <w:numId w:val="15"/>
        </w:numPr>
      </w:pPr>
      <w:r>
        <w:rPr>
          <w:rFonts w:hint="eastAsia"/>
          <w:b/>
          <w:bCs/>
        </w:rPr>
        <w:t>是否交易所认定存续的程序化交易客户：</w:t>
      </w:r>
      <w:r>
        <w:t xml:space="preserve"> </w:t>
      </w:r>
      <w:r>
        <w:rPr>
          <w:rFonts w:hint="eastAsia"/>
        </w:rPr>
        <w:t>根据交易所问询名单内容进行维护，若交易所没有明确该信息，则该项填写”-“；</w:t>
      </w:r>
    </w:p>
    <w:p w14:paraId="4E4B0802">
      <w:pPr>
        <w:pStyle w:val="27"/>
        <w:numPr>
          <w:ilvl w:val="0"/>
          <w:numId w:val="15"/>
        </w:numPr>
      </w:pPr>
      <w:r>
        <w:rPr>
          <w:rFonts w:hint="eastAsia"/>
          <w:b/>
          <w:bCs/>
        </w:rPr>
        <w:t>是否通知客户：</w:t>
      </w:r>
      <w:r>
        <w:t xml:space="preserve"> </w:t>
      </w:r>
      <w:r>
        <w:rPr>
          <w:rFonts w:hint="eastAsia"/>
        </w:rPr>
        <w:t>标识客服或其他业务岗位人员是否已就该客户履行了首次告知义务。这是一个状态判断字段，用于区分”已通知”与”未通知”的客户，避免遗漏或重复通知。</w:t>
      </w:r>
    </w:p>
    <w:p w14:paraId="59761EC2">
      <w:pPr>
        <w:pStyle w:val="27"/>
        <w:numPr>
          <w:ilvl w:val="0"/>
          <w:numId w:val="15"/>
        </w:numPr>
      </w:pPr>
      <w:r>
        <w:rPr>
          <w:rFonts w:hint="eastAsia"/>
          <w:b/>
          <w:bCs/>
        </w:rPr>
        <w:t>通知日期：</w:t>
      </w:r>
      <w:r>
        <w:t xml:space="preserve"> </w:t>
      </w:r>
      <w:r>
        <w:rPr>
          <w:rFonts w:hint="eastAsia"/>
        </w:rPr>
        <w:t>记录实际完成通知的具体日期。可用于追溯通知行为的时效性、排序回访优先级（按通知时间先后）等等。</w:t>
      </w:r>
    </w:p>
    <w:p w14:paraId="6CB12117">
      <w:pPr>
        <w:pStyle w:val="27"/>
        <w:numPr>
          <w:ilvl w:val="0"/>
          <w:numId w:val="15"/>
        </w:numPr>
      </w:pPr>
      <w:r>
        <w:rPr>
          <w:rFonts w:hint="eastAsia"/>
          <w:b/>
          <w:bCs/>
        </w:rPr>
        <w:t>附件：</w:t>
      </w:r>
      <w:r>
        <w:t xml:space="preserve"> </w:t>
      </w:r>
      <w:r>
        <w:rPr>
          <w:rFonts w:hint="eastAsia"/>
        </w:rPr>
        <w:t>存储与本次通知或后续回访相关的佐证材料。例如：通知客户的截图、通话录音摘要、邮件记录等。主要用于留痕备查，满足监管对程序化交易业务”可追溯、可审计”的要求。</w:t>
      </w:r>
    </w:p>
    <w:p w14:paraId="0892FE0A">
      <w:pPr>
        <w:pStyle w:val="13"/>
      </w:pPr>
      <w:r>
        <w:rPr>
          <w:rFonts w:hint="eastAsia"/>
          <w:b/>
          <w:bCs/>
        </w:rPr>
        <w:t>提示</w:t>
      </w:r>
    </w:p>
    <w:p w14:paraId="04B9490D">
      <w:pPr>
        <w:pStyle w:val="13"/>
      </w:pPr>
      <w:r>
        <w:rPr>
          <w:rFonts w:hint="eastAsia"/>
        </w:rPr>
        <w:t>实际使用时，各期货公司可根据自身业务流程与合规要求，对台账中需要记录的字段进行灵活调整或扩展（例如增加回访结果、经办人、下次联系日期等），不限于上述字段。系统支持自定义台账数据结构，以满足不同机构的过程管理需求。如需调整字段，请联系德索工程师添加。</w:t>
      </w:r>
    </w:p>
    <w:p w14:paraId="0D65E61C">
      <w:pPr>
        <w:pStyle w:val="26"/>
      </w:pPr>
      <w:r>
        <w:rPr>
          <w:rFonts w:hint="eastAsia"/>
          <w:b/>
          <w:bCs/>
        </w:rPr>
        <w:t>2）excel</w:t>
      </w:r>
      <w:r>
        <w:rPr>
          <w:b/>
          <w:bCs/>
        </w:rPr>
        <w:t xml:space="preserve"> </w:t>
      </w:r>
      <w:r>
        <w:rPr>
          <w:rFonts w:hint="eastAsia"/>
          <w:b/>
          <w:bCs/>
        </w:rPr>
        <w:t>模板导入</w:t>
      </w:r>
    </w:p>
    <w:p w14:paraId="6BDCBDD7">
      <w:pPr>
        <w:pStyle w:val="3"/>
      </w:pPr>
      <w:r>
        <w:rPr>
          <w:rFonts w:hint="eastAsia"/>
        </w:rPr>
        <w:t>点击”下载模板”按钮，下载</w:t>
      </w:r>
      <w:r>
        <w:t xml:space="preserve"> excel </w:t>
      </w:r>
      <w:r>
        <w:rPr>
          <w:rFonts w:hint="eastAsia"/>
        </w:rPr>
        <w:t>模板。模板中维护客户的交易编码、交易所代码和”是否交易所认定存续的程序化交易所客户”的标识。</w:t>
      </w:r>
    </w:p>
    <w:p w14:paraId="02E7B67D">
      <w:pPr>
        <w:pStyle w:val="3"/>
      </w:pPr>
      <w:r>
        <w:drawing>
          <wp:inline distT="0" distB="0" distL="114300" distR="114300">
            <wp:extent cx="5334000" cy="1083310"/>
            <wp:effectExtent l="0" t="0" r="0" b="0"/>
            <wp:docPr id="111" name="Picture" descr="问询名单 excel 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descr="问询名单 excel 模板"/>
                    <pic:cNvPicPr>
                      <a:picLocks noChangeAspect="1" noChangeArrowheads="1"/>
                    </pic:cNvPicPr>
                  </pic:nvPicPr>
                  <pic:blipFill>
                    <a:blip r:embed="rId30"/>
                    <a:stretch>
                      <a:fillRect/>
                    </a:stretch>
                  </pic:blipFill>
                  <pic:spPr>
                    <a:xfrm>
                      <a:off x="0" y="0"/>
                      <a:ext cx="5334000" cy="1083708"/>
                    </a:xfrm>
                    <a:prstGeom prst="rect">
                      <a:avLst/>
                    </a:prstGeom>
                    <a:noFill/>
                    <a:ln w="9525">
                      <a:noFill/>
                    </a:ln>
                  </pic:spPr>
                </pic:pic>
              </a:graphicData>
            </a:graphic>
          </wp:inline>
        </w:drawing>
      </w:r>
    </w:p>
    <w:p w14:paraId="050BE74A">
      <w:pPr>
        <w:pStyle w:val="13"/>
      </w:pPr>
      <w:r>
        <w:rPr>
          <w:rFonts w:hint="eastAsia"/>
          <w:b/>
          <w:bCs/>
        </w:rPr>
        <w:t>注意</w:t>
      </w:r>
    </w:p>
    <w:p w14:paraId="6832B790">
      <w:pPr>
        <w:pStyle w:val="13"/>
      </w:pPr>
      <w:r>
        <w:rPr>
          <w:rFonts w:hint="eastAsia"/>
        </w:rPr>
        <w:t>请根据</w:t>
      </w:r>
      <w:r>
        <w:t xml:space="preserve"> excel </w:t>
      </w:r>
      <w:r>
        <w:rPr>
          <w:rFonts w:hint="eastAsia"/>
        </w:rPr>
        <w:t>模板中”码表”sheet</w:t>
      </w:r>
      <w:r>
        <w:t xml:space="preserve"> </w:t>
      </w:r>
      <w:r>
        <w:rPr>
          <w:rFonts w:hint="eastAsia"/>
        </w:rPr>
        <w:t>页所提供的</w:t>
      </w:r>
      <w:r>
        <w:rPr>
          <w:rFonts w:hint="eastAsia"/>
          <w:b/>
          <w:bCs/>
        </w:rPr>
        <w:t>代码</w:t>
      </w:r>
      <w:r>
        <w:rPr>
          <w:rFonts w:hint="eastAsia"/>
        </w:rPr>
        <w:t>填写。（不可直接填写中文码值）</w:t>
      </w:r>
    </w:p>
    <w:p w14:paraId="2BE2B3E5">
      <w:pPr>
        <w:pStyle w:val="13"/>
      </w:pPr>
      <w:r>
        <w:rPr>
          <w:rFonts w:hint="eastAsia"/>
        </w:rPr>
        <w:t>不支持通过</w:t>
      </w:r>
      <w:r>
        <w:t xml:space="preserve"> excel </w:t>
      </w:r>
      <w:r>
        <w:rPr>
          <w:rFonts w:hint="eastAsia"/>
        </w:rPr>
        <w:t>模板上传附件信息。</w:t>
      </w:r>
    </w:p>
    <w:p w14:paraId="362C97DE">
      <w:pPr>
        <w:pStyle w:val="26"/>
      </w:pPr>
      <w:r>
        <w:drawing>
          <wp:inline distT="0" distB="0" distL="114300" distR="114300">
            <wp:extent cx="5334000" cy="1942465"/>
            <wp:effectExtent l="0" t="0" r="0" b="0"/>
            <wp:docPr id="114" name="Picture" descr="问询名单码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descr="问询名单码表"/>
                    <pic:cNvPicPr>
                      <a:picLocks noChangeAspect="1" noChangeArrowheads="1"/>
                    </pic:cNvPicPr>
                  </pic:nvPicPr>
                  <pic:blipFill>
                    <a:blip r:embed="rId31"/>
                    <a:stretch>
                      <a:fillRect/>
                    </a:stretch>
                  </pic:blipFill>
                  <pic:spPr>
                    <a:xfrm>
                      <a:off x="0" y="0"/>
                      <a:ext cx="5334000" cy="1942734"/>
                    </a:xfrm>
                    <a:prstGeom prst="rect">
                      <a:avLst/>
                    </a:prstGeom>
                    <a:noFill/>
                    <a:ln w="9525">
                      <a:noFill/>
                    </a:ln>
                  </pic:spPr>
                </pic:pic>
              </a:graphicData>
            </a:graphic>
          </wp:inline>
        </w:drawing>
      </w:r>
    </w:p>
    <w:p w14:paraId="0D6EBD31">
      <w:pPr>
        <w:pStyle w:val="3"/>
      </w:pPr>
      <w:r>
        <w:rPr>
          <w:rFonts w:hint="eastAsia"/>
          <w:b/>
          <w:bCs/>
        </w:rPr>
        <w:t>功能关联说明</w:t>
      </w:r>
    </w:p>
    <w:p w14:paraId="4F6EB095">
      <w:pPr>
        <w:pStyle w:val="3"/>
      </w:pPr>
      <w:r>
        <w:rPr>
          <w:rFonts w:hint="eastAsia"/>
        </w:rPr>
        <w:t>该台账维护的数据，将在</w:t>
      </w:r>
      <w:r>
        <w:rPr>
          <w:rFonts w:hint="eastAsia"/>
          <w:b/>
          <w:bCs/>
        </w:rPr>
        <w:t>【程序化交易行为筛查（双十）】</w:t>
      </w:r>
      <w:r>
        <w:rPr>
          <w:rFonts w:hint="eastAsia"/>
        </w:rPr>
        <w:t>功能中进行关联展示是否为交易所问询客户的标识，具体匹配逻辑及字段说明详见该功能模块。</w:t>
      </w:r>
    </w:p>
    <w:p w14:paraId="68D86EC1">
      <w:pPr>
        <w:pStyle w:val="3"/>
      </w:pPr>
      <w:r>
        <w:drawing>
          <wp:inline distT="0" distB="0" distL="114300" distR="114300">
            <wp:extent cx="5334000" cy="2024380"/>
            <wp:effectExtent l="0" t="0" r="0" b="0"/>
            <wp:docPr id="117" name="Picture" descr="双十功能关联展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descr="双十功能关联展示"/>
                    <pic:cNvPicPr>
                      <a:picLocks noChangeAspect="1" noChangeArrowheads="1"/>
                    </pic:cNvPicPr>
                  </pic:nvPicPr>
                  <pic:blipFill>
                    <a:blip r:embed="rId32"/>
                    <a:stretch>
                      <a:fillRect/>
                    </a:stretch>
                  </pic:blipFill>
                  <pic:spPr>
                    <a:xfrm>
                      <a:off x="0" y="0"/>
                      <a:ext cx="5334000" cy="2024485"/>
                    </a:xfrm>
                    <a:prstGeom prst="rect">
                      <a:avLst/>
                    </a:prstGeom>
                    <a:noFill/>
                    <a:ln w="9525">
                      <a:noFill/>
                    </a:ln>
                  </pic:spPr>
                </pic:pic>
              </a:graphicData>
            </a:graphic>
          </wp:inline>
        </w:drawing>
      </w:r>
    </w:p>
    <w:bookmarkEnd w:id="16"/>
    <w:bookmarkEnd w:id="19"/>
    <w:p w14:paraId="3D7B5A1D">
      <w:pPr>
        <w:pStyle w:val="5"/>
      </w:pPr>
      <w:bookmarkStart w:id="20" w:name="_Toc30847"/>
      <w:bookmarkStart w:id="21" w:name="实控关系维护"/>
      <w:r>
        <w:rPr>
          <w:rFonts w:hint="eastAsia"/>
        </w:rPr>
        <w:t>1.3、实控关系维护</w:t>
      </w:r>
      <w:bookmarkEnd w:id="20"/>
    </w:p>
    <w:p w14:paraId="38F0FC55">
      <w:pPr>
        <w:pStyle w:val="26"/>
      </w:pPr>
      <w:r>
        <w:rPr>
          <w:rFonts w:hint="eastAsia"/>
        </w:rPr>
        <w:t>提供【实控关系账户组维护】和【实控关系客户维护】报表，维护实控组和实控组成员，</w:t>
      </w:r>
      <w:r>
        <w:rPr>
          <w:rFonts w:hint="eastAsia"/>
          <w:b/>
          <w:bCs/>
        </w:rPr>
        <w:t>仅用于程序化交易客户行为筛查（双十）</w:t>
      </w:r>
      <w:r>
        <w:t>。</w:t>
      </w:r>
    </w:p>
    <w:p w14:paraId="0826A532">
      <w:pPr>
        <w:pStyle w:val="3"/>
      </w:pPr>
      <w:r>
        <w:rPr>
          <w:rFonts w:hint="eastAsia"/>
          <w:b/>
          <w:bCs/>
        </w:rPr>
        <w:t>实控关系账户组维护</w:t>
      </w:r>
    </w:p>
    <w:p w14:paraId="69F55768">
      <w:pPr>
        <w:pStyle w:val="3"/>
      </w:pPr>
      <w:r>
        <w:rPr>
          <w:rFonts w:hint="eastAsia"/>
        </w:rPr>
        <w:t>支持维护实控关系账户组编号和名称，支持单个新增和</w:t>
      </w:r>
      <w:r>
        <w:t xml:space="preserve"> excel </w:t>
      </w:r>
      <w:r>
        <w:rPr>
          <w:rFonts w:hint="eastAsia"/>
        </w:rPr>
        <w:t>导入的方式批量新增。</w:t>
      </w:r>
    </w:p>
    <w:p w14:paraId="793DE101">
      <w:pPr>
        <w:pStyle w:val="3"/>
      </w:pPr>
      <w:r>
        <w:drawing>
          <wp:inline distT="0" distB="0" distL="114300" distR="114300">
            <wp:extent cx="5334000" cy="2446020"/>
            <wp:effectExtent l="0" t="0" r="0" b="0"/>
            <wp:docPr id="122" name="Picture" descr="实控关系账户组维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descr="实控关系账户组维护"/>
                    <pic:cNvPicPr>
                      <a:picLocks noChangeAspect="1" noChangeArrowheads="1"/>
                    </pic:cNvPicPr>
                  </pic:nvPicPr>
                  <pic:blipFill>
                    <a:blip r:embed="rId33"/>
                    <a:stretch>
                      <a:fillRect/>
                    </a:stretch>
                  </pic:blipFill>
                  <pic:spPr>
                    <a:xfrm>
                      <a:off x="0" y="0"/>
                      <a:ext cx="5334000" cy="2446308"/>
                    </a:xfrm>
                    <a:prstGeom prst="rect">
                      <a:avLst/>
                    </a:prstGeom>
                    <a:noFill/>
                    <a:ln w="9525">
                      <a:noFill/>
                    </a:ln>
                  </pic:spPr>
                </pic:pic>
              </a:graphicData>
            </a:graphic>
          </wp:inline>
        </w:drawing>
      </w:r>
    </w:p>
    <w:p w14:paraId="36B94904">
      <w:pPr>
        <w:pStyle w:val="3"/>
      </w:pPr>
      <w:r>
        <w:rPr>
          <w:rFonts w:hint="eastAsia"/>
          <w:b/>
          <w:bCs/>
        </w:rPr>
        <w:t>实控关系客户维护</w:t>
      </w:r>
    </w:p>
    <w:p w14:paraId="6278022E">
      <w:pPr>
        <w:pStyle w:val="3"/>
      </w:pPr>
      <w:r>
        <w:rPr>
          <w:rFonts w:hint="eastAsia"/>
        </w:rPr>
        <w:t>支持维护实控关系账户组中的成员客户，支持单个新增和</w:t>
      </w:r>
      <w:r>
        <w:t xml:space="preserve"> excel </w:t>
      </w:r>
      <w:r>
        <w:rPr>
          <w:rFonts w:hint="eastAsia"/>
        </w:rPr>
        <w:t>导入的方式批量新增。</w:t>
      </w:r>
    </w:p>
    <w:p w14:paraId="156F88E9">
      <w:pPr>
        <w:pStyle w:val="3"/>
      </w:pPr>
      <w:r>
        <w:drawing>
          <wp:inline distT="0" distB="0" distL="114300" distR="114300">
            <wp:extent cx="5334000" cy="1593850"/>
            <wp:effectExtent l="0" t="0" r="0" b="0"/>
            <wp:docPr id="125" name="Picture" descr="实控关系客户维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descr="实控关系客户维护"/>
                    <pic:cNvPicPr>
                      <a:picLocks noChangeAspect="1" noChangeArrowheads="1"/>
                    </pic:cNvPicPr>
                  </pic:nvPicPr>
                  <pic:blipFill>
                    <a:blip r:embed="rId34"/>
                    <a:stretch>
                      <a:fillRect/>
                    </a:stretch>
                  </pic:blipFill>
                  <pic:spPr>
                    <a:xfrm>
                      <a:off x="0" y="0"/>
                      <a:ext cx="5334000" cy="1594326"/>
                    </a:xfrm>
                    <a:prstGeom prst="rect">
                      <a:avLst/>
                    </a:prstGeom>
                    <a:noFill/>
                    <a:ln w="9525">
                      <a:noFill/>
                    </a:ln>
                  </pic:spPr>
                </pic:pic>
              </a:graphicData>
            </a:graphic>
          </wp:inline>
        </w:drawing>
      </w:r>
    </w:p>
    <w:bookmarkEnd w:id="9"/>
    <w:bookmarkEnd w:id="21"/>
    <w:p w14:paraId="4F48E53A">
      <w:pPr>
        <w:pStyle w:val="4"/>
      </w:pPr>
      <w:bookmarkStart w:id="22" w:name="_Toc19226"/>
      <w:bookmarkStart w:id="23" w:name="外接客户信息变更监控"/>
      <w:r>
        <w:rPr>
          <w:rFonts w:hint="eastAsia"/>
        </w:rPr>
        <w:t>2、外接客户信息变更监控</w:t>
      </w:r>
      <w:bookmarkEnd w:id="22"/>
    </w:p>
    <w:p w14:paraId="743CFBD8">
      <w:pPr>
        <w:pStyle w:val="26"/>
      </w:pPr>
      <w:r>
        <w:rPr>
          <w:rFonts w:hint="eastAsia"/>
        </w:rPr>
        <w:t>本功能用于每日自动化监控</w:t>
      </w:r>
      <w:r>
        <w:rPr>
          <w:rFonts w:hint="eastAsia"/>
          <w:b/>
          <w:bCs/>
        </w:rPr>
        <w:t>结算后</w:t>
      </w:r>
      <w:r>
        <w:rPr>
          <w:rFonts w:hint="eastAsia"/>
        </w:rPr>
        <w:t>的外接客户及程序化客户关键信息变更情况。系统自动检测并识别信息发生变更的客户，生成监控结果列表，供业务人员进行后续跟踪处理。</w:t>
      </w:r>
    </w:p>
    <w:p w14:paraId="30709D61">
      <w:pPr>
        <w:pStyle w:val="3"/>
      </w:pPr>
      <w:r>
        <w:drawing>
          <wp:inline distT="0" distB="0" distL="114300" distR="114300">
            <wp:extent cx="5334000" cy="1102995"/>
            <wp:effectExtent l="0" t="0" r="0" b="0"/>
            <wp:docPr id="130" name="Picture" descr="外接客户变更监控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descr="外接客户变更监控列表"/>
                    <pic:cNvPicPr>
                      <a:picLocks noChangeAspect="1" noChangeArrowheads="1"/>
                    </pic:cNvPicPr>
                  </pic:nvPicPr>
                  <pic:blipFill>
                    <a:blip r:embed="rId35"/>
                    <a:stretch>
                      <a:fillRect/>
                    </a:stretch>
                  </pic:blipFill>
                  <pic:spPr>
                    <a:xfrm>
                      <a:off x="0" y="0"/>
                      <a:ext cx="5334000" cy="1103392"/>
                    </a:xfrm>
                    <a:prstGeom prst="rect">
                      <a:avLst/>
                    </a:prstGeom>
                    <a:noFill/>
                    <a:ln w="9525">
                      <a:noFill/>
                    </a:ln>
                  </pic:spPr>
                </pic:pic>
              </a:graphicData>
            </a:graphic>
          </wp:inline>
        </w:drawing>
      </w:r>
    </w:p>
    <w:p w14:paraId="7B574010">
      <w:pPr>
        <w:pStyle w:val="3"/>
      </w:pPr>
      <w:r>
        <w:rPr>
          <w:rFonts w:hint="eastAsia"/>
          <w:b/>
          <w:bCs/>
        </w:rPr>
        <w:t>监控变更类型</w:t>
      </w:r>
    </w:p>
    <w:p w14:paraId="1F0D4B2F">
      <w:pPr>
        <w:pStyle w:val="3"/>
      </w:pPr>
      <w:r>
        <w:rPr>
          <w:rFonts w:hint="eastAsia"/>
        </w:rPr>
        <w:t>监控数据来源于</w:t>
      </w:r>
      <w:r>
        <w:t xml:space="preserve"> </w:t>
      </w:r>
      <w:r>
        <w:rPr>
          <w:b/>
          <w:bCs/>
        </w:rPr>
        <w:t>CAP</w:t>
      </w:r>
      <w:r>
        <w:t xml:space="preserve"> </w:t>
      </w:r>
      <w:r>
        <w:rPr>
          <w:rFonts w:hint="eastAsia"/>
        </w:rPr>
        <w:t>系统，主要获取以下三类变更信息：</w:t>
      </w:r>
    </w:p>
    <w:p w14:paraId="0C6C9CC1">
      <w:pPr>
        <w:pStyle w:val="27"/>
        <w:numPr>
          <w:ilvl w:val="0"/>
          <w:numId w:val="16"/>
        </w:numPr>
      </w:pPr>
      <w:r>
        <w:rPr>
          <w:rFonts w:hint="eastAsia"/>
        </w:rPr>
        <w:t>新增交易编码</w:t>
      </w:r>
    </w:p>
    <w:p w14:paraId="10A182A3">
      <w:pPr>
        <w:pStyle w:val="27"/>
        <w:numPr>
          <w:ilvl w:val="0"/>
          <w:numId w:val="16"/>
        </w:numPr>
      </w:pPr>
      <w:r>
        <w:rPr>
          <w:rFonts w:hint="eastAsia"/>
        </w:rPr>
        <w:t>投资者名称变更</w:t>
      </w:r>
    </w:p>
    <w:p w14:paraId="3BCA656B">
      <w:pPr>
        <w:pStyle w:val="27"/>
        <w:numPr>
          <w:ilvl w:val="0"/>
          <w:numId w:val="16"/>
        </w:numPr>
      </w:pPr>
      <w:r>
        <w:rPr>
          <w:rFonts w:hint="eastAsia"/>
        </w:rPr>
        <w:t>产品管理人变更</w:t>
      </w:r>
    </w:p>
    <w:p w14:paraId="74678714">
      <w:pPr>
        <w:pStyle w:val="26"/>
      </w:pPr>
      <w:r>
        <w:rPr>
          <w:rFonts w:hint="eastAsia"/>
        </w:rPr>
        <w:t>（后续会根据监管要求完善更多监控内容）</w:t>
      </w:r>
    </w:p>
    <w:p w14:paraId="1525A4D7">
      <w:pPr>
        <w:pStyle w:val="3"/>
      </w:pPr>
      <w:r>
        <w:rPr>
          <w:rFonts w:hint="eastAsia"/>
          <w:b/>
          <w:bCs/>
        </w:rPr>
        <w:t>监控对象</w:t>
      </w:r>
    </w:p>
    <w:p w14:paraId="290F8A18">
      <w:pPr>
        <w:pStyle w:val="27"/>
        <w:numPr>
          <w:ilvl w:val="0"/>
          <w:numId w:val="17"/>
        </w:numPr>
      </w:pPr>
      <w:r>
        <w:rPr>
          <w:rFonts w:hint="eastAsia"/>
        </w:rPr>
        <w:t>外接客户：【外接非程序化客户信息维护】中维护的正在使用外部接入系统的非程序化客户。</w:t>
      </w:r>
    </w:p>
    <w:p w14:paraId="28918A9D">
      <w:pPr>
        <w:pStyle w:val="27"/>
        <w:numPr>
          <w:ilvl w:val="0"/>
          <w:numId w:val="17"/>
        </w:numPr>
      </w:pPr>
      <w:r>
        <w:rPr>
          <w:rFonts w:hint="eastAsia"/>
        </w:rPr>
        <w:t>程序化交易客户：【程序化交易客户信息维护】中维护的正在使用程序化交易的客户。</w:t>
      </w:r>
    </w:p>
    <w:p w14:paraId="3A293B30">
      <w:pPr>
        <w:pStyle w:val="26"/>
      </w:pPr>
      <w:r>
        <w:rPr>
          <w:rFonts w:hint="eastAsia"/>
          <w:b/>
          <w:bCs/>
        </w:rPr>
        <w:t>监控与结果展示</w:t>
      </w:r>
    </w:p>
    <w:p w14:paraId="2C4F8693">
      <w:pPr>
        <w:pStyle w:val="27"/>
        <w:numPr>
          <w:ilvl w:val="0"/>
          <w:numId w:val="18"/>
        </w:numPr>
      </w:pPr>
      <w:r>
        <w:rPr>
          <w:rFonts w:hint="eastAsia"/>
          <w:b/>
          <w:bCs/>
        </w:rPr>
        <w:t>监控时机：</w:t>
      </w:r>
      <w:r>
        <w:t xml:space="preserve"> </w:t>
      </w:r>
      <w:r>
        <w:rPr>
          <w:rFonts w:hint="eastAsia"/>
        </w:rPr>
        <w:t>每日结算完成后自动触发。</w:t>
      </w:r>
    </w:p>
    <w:p w14:paraId="4E39382A">
      <w:pPr>
        <w:pStyle w:val="27"/>
        <w:numPr>
          <w:ilvl w:val="0"/>
          <w:numId w:val="18"/>
        </w:numPr>
      </w:pPr>
      <w:r>
        <w:rPr>
          <w:rFonts w:hint="eastAsia"/>
          <w:b/>
          <w:bCs/>
        </w:rPr>
        <w:t>时效说明：</w:t>
      </w:r>
      <w:r>
        <w:t xml:space="preserve"> T </w:t>
      </w:r>
      <w:r>
        <w:rPr>
          <w:rFonts w:hint="eastAsia"/>
        </w:rPr>
        <w:t>日结算后完成监控，T+1</w:t>
      </w:r>
      <w:r>
        <w:t xml:space="preserve"> </w:t>
      </w:r>
      <w:r>
        <w:rPr>
          <w:rFonts w:hint="eastAsia"/>
        </w:rPr>
        <w:t>日即可在监控结果列表中查看变更情况。</w:t>
      </w:r>
    </w:p>
    <w:p w14:paraId="6FBF22FB">
      <w:pPr>
        <w:pStyle w:val="27"/>
        <w:numPr>
          <w:ilvl w:val="0"/>
          <w:numId w:val="18"/>
        </w:numPr>
      </w:pPr>
      <w:r>
        <w:rPr>
          <w:rFonts w:hint="eastAsia"/>
          <w:b/>
          <w:bCs/>
        </w:rPr>
        <w:t>结果展示：</w:t>
      </w:r>
      <w:r>
        <w:t xml:space="preserve"> </w:t>
      </w:r>
      <w:r>
        <w:rPr>
          <w:rFonts w:hint="eastAsia"/>
        </w:rPr>
        <w:t>生成变更监控列表，展示发生信息变更的客户及变更详情。</w:t>
      </w:r>
    </w:p>
    <w:p w14:paraId="2C9AA6EA">
      <w:pPr>
        <w:pStyle w:val="27"/>
        <w:numPr>
          <w:ilvl w:val="0"/>
          <w:numId w:val="18"/>
        </w:numPr>
      </w:pPr>
      <w:r>
        <w:rPr>
          <w:rFonts w:hint="eastAsia"/>
          <w:b/>
          <w:bCs/>
        </w:rPr>
        <w:t>无变更处理：</w:t>
      </w:r>
      <w:r>
        <w:t xml:space="preserve"> </w:t>
      </w:r>
      <w:r>
        <w:rPr>
          <w:rFonts w:hint="eastAsia"/>
        </w:rPr>
        <w:t>若当日未监测到任何变更信息，则不生成监控结果（列表不产生无效记录）。</w:t>
      </w:r>
    </w:p>
    <w:p w14:paraId="2A4D9B09">
      <w:pPr>
        <w:pStyle w:val="26"/>
      </w:pPr>
      <w:r>
        <w:rPr>
          <w:rFonts w:hint="eastAsia"/>
          <w:b/>
          <w:bCs/>
        </w:rPr>
        <w:t>维护跟踪情况</w:t>
      </w:r>
    </w:p>
    <w:p w14:paraId="11BB7E0B">
      <w:pPr>
        <w:pStyle w:val="3"/>
      </w:pPr>
      <w:r>
        <w:rPr>
          <w:rFonts w:hint="eastAsia"/>
        </w:rPr>
        <w:t>在列表中选中需要维护的变更记录，点击”修改”按钮，跳转到维护界面，录入跟踪情况。</w:t>
      </w:r>
    </w:p>
    <w:p w14:paraId="6ECADDC1">
      <w:pPr>
        <w:pStyle w:val="3"/>
      </w:pPr>
      <w:r>
        <w:drawing>
          <wp:inline distT="0" distB="0" distL="114300" distR="114300">
            <wp:extent cx="5334000" cy="1238250"/>
            <wp:effectExtent l="0" t="0" r="0" b="0"/>
            <wp:docPr id="133" name="Picture" descr="变更监控跟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descr="变更监控跟踪"/>
                    <pic:cNvPicPr>
                      <a:picLocks noChangeAspect="1" noChangeArrowheads="1"/>
                    </pic:cNvPicPr>
                  </pic:nvPicPr>
                  <pic:blipFill>
                    <a:blip r:embed="rId36"/>
                    <a:stretch>
                      <a:fillRect/>
                    </a:stretch>
                  </pic:blipFill>
                  <pic:spPr>
                    <a:xfrm>
                      <a:off x="0" y="0"/>
                      <a:ext cx="5334000" cy="1238544"/>
                    </a:xfrm>
                    <a:prstGeom prst="rect">
                      <a:avLst/>
                    </a:prstGeom>
                    <a:noFill/>
                    <a:ln w="9525">
                      <a:noFill/>
                    </a:ln>
                  </pic:spPr>
                </pic:pic>
              </a:graphicData>
            </a:graphic>
          </wp:inline>
        </w:drawing>
      </w:r>
    </w:p>
    <w:bookmarkEnd w:id="23"/>
    <w:p w14:paraId="37AB5C69">
      <w:pPr>
        <w:pStyle w:val="4"/>
      </w:pPr>
      <w:bookmarkStart w:id="24" w:name="_Toc8577"/>
      <w:bookmarkStart w:id="25" w:name="程序化交易行为筛查双十"/>
      <w:r>
        <w:rPr>
          <w:rFonts w:hint="eastAsia"/>
        </w:rPr>
        <w:t>3、程序化交易行为筛查（双十）</w:t>
      </w:r>
      <w:bookmarkEnd w:id="24"/>
    </w:p>
    <w:p w14:paraId="5836B9C6">
      <w:pPr>
        <w:pStyle w:val="26"/>
      </w:pPr>
      <w:r>
        <w:rPr>
          <w:rFonts w:hint="eastAsia"/>
        </w:rPr>
        <w:t>提供【程序化交易客户行为筛查】报表，用于筛查满足”在</w:t>
      </w:r>
      <w:r>
        <w:t xml:space="preserve"> 1 </w:t>
      </w:r>
      <w:r>
        <w:rPr>
          <w:rFonts w:hint="eastAsia"/>
        </w:rPr>
        <w:t>个交易日内出现</w:t>
      </w:r>
      <w:r>
        <w:t xml:space="preserve"> 10 </w:t>
      </w:r>
      <w:r>
        <w:rPr>
          <w:rFonts w:hint="eastAsia"/>
        </w:rPr>
        <w:t>次（含）以上</w:t>
      </w:r>
      <w:r>
        <w:t xml:space="preserve"> 1 </w:t>
      </w:r>
      <w:r>
        <w:rPr>
          <w:rFonts w:hint="eastAsia"/>
        </w:rPr>
        <w:t>秒钟内</w:t>
      </w:r>
      <w:r>
        <w:t xml:space="preserve"> 10 </w:t>
      </w:r>
      <w:r>
        <w:rPr>
          <w:rFonts w:hint="eastAsia"/>
        </w:rPr>
        <w:t>笔（含）以上报撤单”的</w:t>
      </w:r>
      <w:r>
        <w:rPr>
          <w:rFonts w:hint="eastAsia"/>
          <w:b/>
          <w:bCs/>
        </w:rPr>
        <w:t>单客户</w:t>
      </w:r>
      <w:r>
        <w:rPr>
          <w:rFonts w:hint="eastAsia"/>
        </w:rPr>
        <w:t>或</w:t>
      </w:r>
      <w:r>
        <w:rPr>
          <w:rFonts w:hint="eastAsia"/>
          <w:b/>
          <w:bCs/>
        </w:rPr>
        <w:t>实控关系账户组</w:t>
      </w:r>
      <w:r>
        <w:t>。</w:t>
      </w:r>
    </w:p>
    <w:p w14:paraId="370ACAEB">
      <w:pPr>
        <w:pStyle w:val="3"/>
      </w:pPr>
      <w:r>
        <w:rPr>
          <w:rFonts w:hint="eastAsia"/>
        </w:rPr>
        <w:t>交易行为数据来源于</w:t>
      </w:r>
      <w:r>
        <w:t xml:space="preserve"> CTP </w:t>
      </w:r>
      <w:r>
        <w:rPr>
          <w:rFonts w:hint="eastAsia"/>
        </w:rPr>
        <w:t>报单表，数据时效为每日结算跑批后。</w:t>
      </w:r>
    </w:p>
    <w:p w14:paraId="512E2C4B">
      <w:pPr>
        <w:pStyle w:val="3"/>
      </w:pPr>
      <w:r>
        <w:rPr>
          <w:rFonts w:hint="eastAsia"/>
        </w:rPr>
        <w:t>报表支持下钻，查询单个客户或实控关系账户组</w:t>
      </w:r>
      <w:r>
        <w:t xml:space="preserve"> 1 </w:t>
      </w:r>
      <w:r>
        <w:rPr>
          <w:rFonts w:hint="eastAsia"/>
        </w:rPr>
        <w:t>秒内报撤单笔数的情况，以及进一步下钻查询</w:t>
      </w:r>
      <w:r>
        <w:t xml:space="preserve"> 1 </w:t>
      </w:r>
      <w:r>
        <w:rPr>
          <w:rFonts w:hint="eastAsia"/>
        </w:rPr>
        <w:t>秒内报撤单明细信息。</w:t>
      </w:r>
    </w:p>
    <w:p w14:paraId="74CF1AE8">
      <w:pPr>
        <w:pStyle w:val="13"/>
      </w:pPr>
      <w:r>
        <w:rPr>
          <w:rFonts w:hint="eastAsia"/>
          <w:b/>
          <w:bCs/>
        </w:rPr>
        <w:t>提示</w:t>
      </w:r>
    </w:p>
    <w:p w14:paraId="55AEF97F">
      <w:pPr>
        <w:pStyle w:val="13"/>
      </w:pPr>
      <w:r>
        <w:rPr>
          <w:rFonts w:hint="eastAsia"/>
        </w:rPr>
        <w:t>该功能已于</w:t>
      </w:r>
      <w:r>
        <w:t xml:space="preserve"> 2025 </w:t>
      </w:r>
      <w:r>
        <w:rPr>
          <w:rFonts w:hint="eastAsia"/>
        </w:rPr>
        <w:t>年</w:t>
      </w:r>
      <w:r>
        <w:t xml:space="preserve"> 10 </w:t>
      </w:r>
      <w:r>
        <w:rPr>
          <w:rFonts w:hint="eastAsia"/>
        </w:rPr>
        <w:t>月上线，功能说明详见：</w:t>
      </w:r>
      <w:r>
        <w:fldChar w:fldCharType="begin"/>
      </w:r>
      <w:r>
        <w:instrText xml:space="preserve"> HYPERLINK "https://docs.qq.com/doc/DQ0tUa014cWdObEtW" \h </w:instrText>
      </w:r>
      <w:r>
        <w:fldChar w:fldCharType="separate"/>
      </w:r>
      <w:r>
        <w:rPr>
          <w:rStyle w:val="23"/>
          <w:rFonts w:hint="eastAsia"/>
        </w:rPr>
        <w:t>德索-程序化交易管理办法解决方案说明</w:t>
      </w:r>
      <w:r>
        <w:rPr>
          <w:rStyle w:val="23"/>
          <w:rFonts w:hint="eastAsia"/>
        </w:rPr>
        <w:fldChar w:fldCharType="end"/>
      </w:r>
    </w:p>
    <w:p w14:paraId="13F91B01">
      <w:pPr>
        <w:pStyle w:val="26"/>
      </w:pPr>
      <w:r>
        <w:rPr>
          <w:rFonts w:hint="eastAsia"/>
          <w:b/>
          <w:bCs/>
        </w:rPr>
        <w:t>功能关联说明</w:t>
      </w:r>
    </w:p>
    <w:p w14:paraId="49339860">
      <w:pPr>
        <w:pStyle w:val="3"/>
      </w:pPr>
      <w:r>
        <w:rPr>
          <w:rFonts w:hint="eastAsia"/>
        </w:rPr>
        <w:t>在双十筛查的结果列表中，关联展示</w:t>
      </w:r>
      <w:r>
        <w:rPr>
          <w:rFonts w:hint="eastAsia"/>
          <w:b/>
          <w:bCs/>
        </w:rPr>
        <w:t>是否为交易所问询客户</w:t>
      </w:r>
      <w:r>
        <w:rPr>
          <w:rFonts w:hint="eastAsia"/>
        </w:rPr>
        <w:t>的标识：</w:t>
      </w:r>
    </w:p>
    <w:p w14:paraId="52860979">
      <w:pPr>
        <w:pStyle w:val="27"/>
        <w:numPr>
          <w:ilvl w:val="0"/>
          <w:numId w:val="19"/>
        </w:numPr>
      </w:pPr>
      <w:r>
        <w:rPr>
          <w:rFonts w:hint="eastAsia"/>
          <w:b/>
          <w:bCs/>
        </w:rPr>
        <w:t>是否交易所问询客户：</w:t>
      </w:r>
      <w:r>
        <w:t xml:space="preserve"> </w:t>
      </w:r>
      <w:r>
        <w:rPr>
          <w:rFonts w:hint="eastAsia"/>
        </w:rPr>
        <w:t>若该客户在【程序化客户问询名单维护】列表中，则展示”是”；</w:t>
      </w:r>
    </w:p>
    <w:p w14:paraId="53DD4793">
      <w:pPr>
        <w:pStyle w:val="27"/>
        <w:numPr>
          <w:ilvl w:val="0"/>
          <w:numId w:val="19"/>
        </w:numPr>
      </w:pPr>
      <w:r>
        <w:rPr>
          <w:rFonts w:hint="eastAsia"/>
          <w:b/>
          <w:bCs/>
        </w:rPr>
        <w:t>认定存续的交易所：</w:t>
      </w:r>
      <w:r>
        <w:t xml:space="preserve"> </w:t>
      </w:r>
      <w:r>
        <w:rPr>
          <w:rFonts w:hint="eastAsia"/>
        </w:rPr>
        <w:t>展示该客户在【程序化客户问询名单维护】列表中”是否交易所认定存续的程序化交易所客户”字段维护”是”的所有交易所名称；</w:t>
      </w:r>
    </w:p>
    <w:p w14:paraId="7EA73BFF">
      <w:pPr>
        <w:pStyle w:val="27"/>
        <w:numPr>
          <w:ilvl w:val="0"/>
          <w:numId w:val="19"/>
        </w:numPr>
      </w:pPr>
      <w:r>
        <w:rPr>
          <w:rFonts w:hint="eastAsia"/>
          <w:b/>
          <w:bCs/>
        </w:rPr>
        <w:t>认定非存续的交易所：</w:t>
      </w:r>
      <w:r>
        <w:t xml:space="preserve"> </w:t>
      </w:r>
      <w:r>
        <w:rPr>
          <w:rFonts w:hint="eastAsia"/>
        </w:rPr>
        <w:t>展示该客户在【程序化客户问询名单维护】列表中”是否交易所认定存续的程序化交易所客户”字段维护”否”的所有交易所名称；</w:t>
      </w:r>
    </w:p>
    <w:p w14:paraId="0ADB1313">
      <w:pPr>
        <w:pStyle w:val="27"/>
        <w:numPr>
          <w:ilvl w:val="0"/>
          <w:numId w:val="19"/>
        </w:numPr>
      </w:pPr>
      <w:r>
        <w:rPr>
          <w:rFonts w:hint="eastAsia"/>
          <w:b/>
          <w:bCs/>
        </w:rPr>
        <w:t>是否通知客户：</w:t>
      </w:r>
      <w:r>
        <w:t xml:space="preserve"> </w:t>
      </w:r>
      <w:r>
        <w:rPr>
          <w:rFonts w:hint="eastAsia"/>
        </w:rPr>
        <w:t>展示该客户在【程序化客户问询名单维护】列表中所有问询记录对客户的告知情况。若所有问询均已通知客户（即所有记录的”是否通知”字段均维护”是”），则此处展示”是”。</w:t>
      </w:r>
    </w:p>
    <w:p w14:paraId="6E386244">
      <w:pPr>
        <w:pStyle w:val="26"/>
      </w:pPr>
      <w:r>
        <w:drawing>
          <wp:inline distT="0" distB="0" distL="114300" distR="114300">
            <wp:extent cx="5334000" cy="2024380"/>
            <wp:effectExtent l="0" t="0" r="0" b="0"/>
            <wp:docPr id="137" name="Picture" descr="双十筛查与问询名单关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descr="双十筛查与问询名单关联"/>
                    <pic:cNvPicPr>
                      <a:picLocks noChangeAspect="1" noChangeArrowheads="1"/>
                    </pic:cNvPicPr>
                  </pic:nvPicPr>
                  <pic:blipFill>
                    <a:blip r:embed="rId32"/>
                    <a:stretch>
                      <a:fillRect/>
                    </a:stretch>
                  </pic:blipFill>
                  <pic:spPr>
                    <a:xfrm>
                      <a:off x="0" y="0"/>
                      <a:ext cx="5334000" cy="2024485"/>
                    </a:xfrm>
                    <a:prstGeom prst="rect">
                      <a:avLst/>
                    </a:prstGeom>
                    <a:noFill/>
                    <a:ln w="9525">
                      <a:noFill/>
                    </a:ln>
                  </pic:spPr>
                </pic:pic>
              </a:graphicData>
            </a:graphic>
          </wp:inline>
        </w:drawing>
      </w:r>
    </w:p>
    <w:bookmarkEnd w:id="25"/>
    <w:p w14:paraId="42BF7394">
      <w:pPr>
        <w:pStyle w:val="4"/>
      </w:pPr>
      <w:bookmarkStart w:id="26" w:name="_Toc22421"/>
      <w:bookmarkStart w:id="27" w:name="外接异常行为监控"/>
      <w:r>
        <w:rPr>
          <w:rFonts w:hint="eastAsia"/>
        </w:rPr>
        <w:t>4、外接异常行为监控</w:t>
      </w:r>
      <w:bookmarkEnd w:id="26"/>
    </w:p>
    <w:p w14:paraId="5B913A4F">
      <w:pPr>
        <w:pStyle w:val="26"/>
      </w:pPr>
      <w:r>
        <w:rPr>
          <w:rFonts w:hint="eastAsia"/>
        </w:rPr>
        <w:t>基于</w:t>
      </w:r>
      <w:r>
        <w:rPr>
          <w:rFonts w:hint="eastAsia"/>
          <w:b/>
          <w:bCs/>
        </w:rPr>
        <w:t>存量历史数据（T+1）</w:t>
      </w:r>
      <w:r>
        <w:rPr>
          <w:rFonts w:hint="eastAsia"/>
        </w:rPr>
        <w:t>进行分析筛查，包含行业通用的</w:t>
      </w:r>
      <w:r>
        <w:rPr>
          <w:rFonts w:hint="eastAsia"/>
          <w:b/>
          <w:bCs/>
        </w:rPr>
        <w:t>标准化筛查规则</w:t>
      </w:r>
      <w:r>
        <w:rPr>
          <w:rFonts w:hint="eastAsia"/>
        </w:rPr>
        <w:t>，支持期货公司先行通过</w:t>
      </w:r>
      <w:r>
        <w:rPr>
          <w:rFonts w:hint="eastAsia"/>
          <w:b/>
          <w:bCs/>
        </w:rPr>
        <w:t>手动</w:t>
      </w:r>
      <w:r>
        <w:rPr>
          <w:rFonts w:hint="eastAsia"/>
        </w:rPr>
        <w:t>方式验证规则逻辑的合理性，后续可根据自身需求进行个性化调整，并逐步实现</w:t>
      </w:r>
      <w:r>
        <w:rPr>
          <w:rFonts w:hint="eastAsia"/>
          <w:b/>
          <w:bCs/>
        </w:rPr>
        <w:t>常态化</w:t>
      </w:r>
      <w:r>
        <w:rPr>
          <w:rFonts w:hint="eastAsia"/>
        </w:rPr>
        <w:t>的</w:t>
      </w:r>
      <w:r>
        <w:rPr>
          <w:rFonts w:hint="eastAsia"/>
          <w:b/>
          <w:bCs/>
        </w:rPr>
        <w:t>自动监控与回访</w:t>
      </w:r>
      <w:r>
        <w:rPr>
          <w:rFonts w:hint="eastAsia"/>
        </w:rPr>
        <w:t>管理。</w:t>
      </w:r>
    </w:p>
    <w:p w14:paraId="47B073DF">
      <w:pPr>
        <w:pStyle w:val="5"/>
      </w:pPr>
      <w:bookmarkStart w:id="28" w:name="_Toc23985"/>
      <w:bookmarkStart w:id="29" w:name="筛查规则管理"/>
      <w:r>
        <w:rPr>
          <w:rFonts w:hint="eastAsia"/>
        </w:rPr>
        <w:t>4.1、筛查规则管理</w:t>
      </w:r>
      <w:bookmarkEnd w:id="28"/>
    </w:p>
    <w:p w14:paraId="3EF7CE75">
      <w:pPr>
        <w:pStyle w:val="26"/>
      </w:pPr>
      <w:r>
        <w:rPr>
          <w:rFonts w:hint="eastAsia"/>
        </w:rPr>
        <w:t>提供外接异常行为筛查规则列表，支持</w:t>
      </w:r>
      <w:r>
        <w:rPr>
          <w:rFonts w:hint="eastAsia"/>
          <w:b/>
          <w:bCs/>
        </w:rPr>
        <w:t>查询</w:t>
      </w:r>
      <w:r>
        <w:rPr>
          <w:rFonts w:hint="eastAsia"/>
        </w:rPr>
        <w:t>规则描述和查询参数，支持</w:t>
      </w:r>
      <w:r>
        <w:rPr>
          <w:rFonts w:hint="eastAsia"/>
          <w:b/>
          <w:bCs/>
        </w:rPr>
        <w:t>修改参数的默认值</w:t>
      </w:r>
      <w:r>
        <w:rPr>
          <w:rFonts w:hint="eastAsia"/>
        </w:rPr>
        <w:t>。该菜单建议开放给</w:t>
      </w:r>
      <w:r>
        <w:rPr>
          <w:rFonts w:hint="eastAsia"/>
          <w:b/>
          <w:bCs/>
        </w:rPr>
        <w:t>技术部</w:t>
      </w:r>
      <w:r>
        <w:rPr>
          <w:rFonts w:hint="eastAsia"/>
        </w:rPr>
        <w:t>用户或部分业务用户使用。</w:t>
      </w:r>
    </w:p>
    <w:p w14:paraId="1CA4710A">
      <w:pPr>
        <w:pStyle w:val="3"/>
      </w:pPr>
      <w:r>
        <w:drawing>
          <wp:inline distT="0" distB="0" distL="114300" distR="114300">
            <wp:extent cx="5334000" cy="1738630"/>
            <wp:effectExtent l="0" t="0" r="0" b="0"/>
            <wp:docPr id="141" name="Picture" descr="筛查规则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descr="筛查规则列表"/>
                    <pic:cNvPicPr>
                      <a:picLocks noChangeAspect="1" noChangeArrowheads="1"/>
                    </pic:cNvPicPr>
                  </pic:nvPicPr>
                  <pic:blipFill>
                    <a:blip r:embed="rId37"/>
                    <a:stretch>
                      <a:fillRect/>
                    </a:stretch>
                  </pic:blipFill>
                  <pic:spPr>
                    <a:xfrm>
                      <a:off x="0" y="0"/>
                      <a:ext cx="5334000" cy="1739057"/>
                    </a:xfrm>
                    <a:prstGeom prst="rect">
                      <a:avLst/>
                    </a:prstGeom>
                    <a:noFill/>
                    <a:ln w="9525">
                      <a:noFill/>
                    </a:ln>
                  </pic:spPr>
                </pic:pic>
              </a:graphicData>
            </a:graphic>
          </wp:inline>
        </w:drawing>
      </w:r>
    </w:p>
    <w:p w14:paraId="6FBF2B4D">
      <w:pPr>
        <w:pStyle w:val="3"/>
      </w:pPr>
      <w:r>
        <w:rPr>
          <w:rFonts w:hint="eastAsia"/>
          <w:b/>
          <w:bCs/>
        </w:rPr>
        <w:t>修改参数默认值</w:t>
      </w:r>
    </w:p>
    <w:p w14:paraId="3AEB4855">
      <w:pPr>
        <w:pStyle w:val="3"/>
      </w:pPr>
      <w:r>
        <w:rPr>
          <w:rFonts w:hint="eastAsia"/>
        </w:rPr>
        <w:t>点击操作列的”修改参数值”，弹框中展示规则包含的查询参数及对应的默认参数，支持修改默认值，如</w:t>
      </w:r>
      <w:r>
        <w:t xml:space="preserve"> E002 </w:t>
      </w:r>
      <w:r>
        <w:rPr>
          <w:rFonts w:hint="eastAsia"/>
        </w:rPr>
        <w:t>外接客户日内频繁大量报撤单，参数”信息量”默认设置为大于</w:t>
      </w:r>
      <w:r>
        <w:t xml:space="preserve"> </w:t>
      </w:r>
      <w:r>
        <w:rPr>
          <w:rFonts w:hint="eastAsia"/>
        </w:rPr>
        <w:t>400，可根据实际监控情况，修改为其他数值。</w:t>
      </w:r>
    </w:p>
    <w:p w14:paraId="02731D98">
      <w:pPr>
        <w:pStyle w:val="3"/>
      </w:pPr>
      <w:r>
        <w:drawing>
          <wp:inline distT="0" distB="0" distL="114300" distR="114300">
            <wp:extent cx="5334000" cy="1896745"/>
            <wp:effectExtent l="0" t="0" r="0" b="0"/>
            <wp:docPr id="144" name="Picture" descr="修改参数默认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descr="修改参数默认值"/>
                    <pic:cNvPicPr>
                      <a:picLocks noChangeAspect="1" noChangeArrowheads="1"/>
                    </pic:cNvPicPr>
                  </pic:nvPicPr>
                  <pic:blipFill>
                    <a:blip r:embed="rId38"/>
                    <a:stretch>
                      <a:fillRect/>
                    </a:stretch>
                  </pic:blipFill>
                  <pic:spPr>
                    <a:xfrm>
                      <a:off x="0" y="0"/>
                      <a:ext cx="5334000" cy="1896841"/>
                    </a:xfrm>
                    <a:prstGeom prst="rect">
                      <a:avLst/>
                    </a:prstGeom>
                    <a:noFill/>
                    <a:ln w="9525">
                      <a:noFill/>
                    </a:ln>
                  </pic:spPr>
                </pic:pic>
              </a:graphicData>
            </a:graphic>
          </wp:inline>
        </w:drawing>
      </w:r>
    </w:p>
    <w:p w14:paraId="101FC022">
      <w:pPr>
        <w:pStyle w:val="3"/>
      </w:pPr>
      <w:r>
        <w:rPr>
          <w:rFonts w:hint="eastAsia"/>
          <w:b/>
          <w:bCs/>
        </w:rPr>
        <w:t>补充说明</w:t>
      </w:r>
    </w:p>
    <w:p w14:paraId="0A975FEE">
      <w:pPr>
        <w:pStyle w:val="3"/>
      </w:pPr>
      <w:r>
        <w:rPr>
          <w:rFonts w:hint="eastAsia"/>
        </w:rPr>
        <w:t>若期货公司技术人员具备筛查规则的开发能力，可通过德索【数据运营管理平台】—&gt;【规则管理】—&gt;【规则维护】功能，自行开发外接异常行为的监控规则，其中”规则类型”选中”外接客户”即可。</w:t>
      </w:r>
    </w:p>
    <w:p w14:paraId="655A9899">
      <w:pPr>
        <w:pStyle w:val="3"/>
      </w:pPr>
      <w:r>
        <w:drawing>
          <wp:inline distT="0" distB="0" distL="114300" distR="114300">
            <wp:extent cx="5334000" cy="1536065"/>
            <wp:effectExtent l="0" t="0" r="0" b="0"/>
            <wp:docPr id="147" name="Picture" descr="规则维护入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descr="规则维护入口"/>
                    <pic:cNvPicPr>
                      <a:picLocks noChangeAspect="1" noChangeArrowheads="1"/>
                    </pic:cNvPicPr>
                  </pic:nvPicPr>
                  <pic:blipFill>
                    <a:blip r:embed="rId39"/>
                    <a:stretch>
                      <a:fillRect/>
                    </a:stretch>
                  </pic:blipFill>
                  <pic:spPr>
                    <a:xfrm>
                      <a:off x="0" y="0"/>
                      <a:ext cx="5334000" cy="1536505"/>
                    </a:xfrm>
                    <a:prstGeom prst="rect">
                      <a:avLst/>
                    </a:prstGeom>
                    <a:noFill/>
                    <a:ln w="9525">
                      <a:noFill/>
                    </a:ln>
                  </pic:spPr>
                </pic:pic>
              </a:graphicData>
            </a:graphic>
          </wp:inline>
        </w:drawing>
      </w:r>
    </w:p>
    <w:p w14:paraId="706E8C2C">
      <w:pPr>
        <w:pStyle w:val="3"/>
      </w:pPr>
      <w:r>
        <w:drawing>
          <wp:inline distT="0" distB="0" distL="114300" distR="114300">
            <wp:extent cx="5334000" cy="1896110"/>
            <wp:effectExtent l="0" t="0" r="0" b="0"/>
            <wp:docPr id="150" name="Picture" descr="自定义规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descr="自定义规则"/>
                    <pic:cNvPicPr>
                      <a:picLocks noChangeAspect="1" noChangeArrowheads="1"/>
                    </pic:cNvPicPr>
                  </pic:nvPicPr>
                  <pic:blipFill>
                    <a:blip r:embed="rId40"/>
                    <a:stretch>
                      <a:fillRect/>
                    </a:stretch>
                  </pic:blipFill>
                  <pic:spPr>
                    <a:xfrm>
                      <a:off x="0" y="0"/>
                      <a:ext cx="5334000" cy="1896365"/>
                    </a:xfrm>
                    <a:prstGeom prst="rect">
                      <a:avLst/>
                    </a:prstGeom>
                    <a:noFill/>
                    <a:ln w="9525">
                      <a:noFill/>
                    </a:ln>
                  </pic:spPr>
                </pic:pic>
              </a:graphicData>
            </a:graphic>
          </wp:inline>
        </w:drawing>
      </w:r>
    </w:p>
    <w:bookmarkEnd w:id="29"/>
    <w:p w14:paraId="49FB45B2">
      <w:pPr>
        <w:pStyle w:val="5"/>
      </w:pPr>
      <w:bookmarkStart w:id="30" w:name="_Toc5567"/>
      <w:bookmarkStart w:id="31" w:name="自动化任务管理"/>
      <w:r>
        <w:rPr>
          <w:rFonts w:hint="eastAsia"/>
        </w:rPr>
        <w:t>4.2、自动化任务管理</w:t>
      </w:r>
      <w:bookmarkEnd w:id="30"/>
    </w:p>
    <w:p w14:paraId="24FC489A">
      <w:pPr>
        <w:pStyle w:val="26"/>
      </w:pPr>
      <w:r>
        <w:rPr>
          <w:rFonts w:hint="eastAsia"/>
        </w:rPr>
        <w:t>本功能页面为</w:t>
      </w:r>
      <w:r>
        <w:rPr>
          <w:rFonts w:hint="eastAsia"/>
          <w:b/>
          <w:bCs/>
        </w:rPr>
        <w:t>后续常态化自动监控</w:t>
      </w:r>
      <w:r>
        <w:rPr>
          <w:rFonts w:hint="eastAsia"/>
        </w:rPr>
        <w:t>的任务配置入口。需特别说明的是：</w:t>
      </w:r>
    </w:p>
    <w:p w14:paraId="5E624B9D">
      <w:pPr>
        <w:pStyle w:val="13"/>
      </w:pPr>
      <w:r>
        <w:rPr>
          <w:rFonts w:hint="eastAsia"/>
          <w:b/>
          <w:bCs/>
        </w:rPr>
        <w:t>注意</w:t>
      </w:r>
    </w:p>
    <w:p w14:paraId="1231A0FF">
      <w:pPr>
        <w:pStyle w:val="13"/>
      </w:pPr>
      <w:r>
        <w:rPr>
          <w:rFonts w:hint="eastAsia"/>
          <w:b/>
          <w:bCs/>
        </w:rPr>
        <w:t>本方案默认不开启自动化筛查。</w:t>
      </w:r>
      <w:r>
        <w:t xml:space="preserve"> </w:t>
      </w:r>
      <w:r>
        <w:rPr>
          <w:rFonts w:hint="eastAsia"/>
        </w:rPr>
        <w:t>系统上线初期，建议期货公司通过”外接异常行为手动筛查”功能，基于存量历史数据（T+1）对行业通用筛查规则进行逻辑验证与参数阈值调试，并根据实际业务情况对规则进行增、删、改等个性化调整。</w:t>
      </w:r>
    </w:p>
    <w:p w14:paraId="1ED73F31">
      <w:pPr>
        <w:pStyle w:val="13"/>
      </w:pPr>
      <w:r>
        <w:rPr>
          <w:rFonts w:hint="eastAsia"/>
        </w:rPr>
        <w:t>待规则逻辑经过充分验证且参数设置符合自身风控要求后，若期货公司希望将异常行为监控由”手动筛查”升级为常态化自动运行，届时需</w:t>
      </w:r>
      <w:r>
        <w:rPr>
          <w:rFonts w:hint="eastAsia"/>
          <w:b/>
          <w:bCs/>
        </w:rPr>
        <w:t>联系德索</w:t>
      </w:r>
      <w:r>
        <w:rPr>
          <w:rFonts w:hint="eastAsia"/>
        </w:rPr>
        <w:t>配合完成自动化任务配置及相关需求落地。</w:t>
      </w:r>
    </w:p>
    <w:p w14:paraId="62823A7B">
      <w:pPr>
        <w:pStyle w:val="26"/>
      </w:pPr>
      <w:r>
        <w:drawing>
          <wp:inline distT="0" distB="0" distL="114300" distR="114300">
            <wp:extent cx="5334000" cy="1300480"/>
            <wp:effectExtent l="0" t="0" r="0" b="0"/>
            <wp:docPr id="154" name="Picture" descr="自动化任务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descr="自动化任务列表"/>
                    <pic:cNvPicPr>
                      <a:picLocks noChangeAspect="1" noChangeArrowheads="1"/>
                    </pic:cNvPicPr>
                  </pic:nvPicPr>
                  <pic:blipFill>
                    <a:blip r:embed="rId41"/>
                    <a:stretch>
                      <a:fillRect/>
                    </a:stretch>
                  </pic:blipFill>
                  <pic:spPr>
                    <a:xfrm>
                      <a:off x="0" y="0"/>
                      <a:ext cx="5334000" cy="1300975"/>
                    </a:xfrm>
                    <a:prstGeom prst="rect">
                      <a:avLst/>
                    </a:prstGeom>
                    <a:noFill/>
                    <a:ln w="9525">
                      <a:noFill/>
                    </a:ln>
                  </pic:spPr>
                </pic:pic>
              </a:graphicData>
            </a:graphic>
          </wp:inline>
        </w:drawing>
      </w:r>
    </w:p>
    <w:p w14:paraId="08FA8E9B">
      <w:pPr>
        <w:pStyle w:val="3"/>
      </w:pPr>
      <w:r>
        <w:drawing>
          <wp:inline distT="0" distB="0" distL="114300" distR="114300">
            <wp:extent cx="5334000" cy="2836545"/>
            <wp:effectExtent l="0" t="0" r="0" b="0"/>
            <wp:docPr id="157" name="Picture" descr="自动化任务配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descr="自动化任务配置"/>
                    <pic:cNvPicPr>
                      <a:picLocks noChangeAspect="1" noChangeArrowheads="1"/>
                    </pic:cNvPicPr>
                  </pic:nvPicPr>
                  <pic:blipFill>
                    <a:blip r:embed="rId42"/>
                    <a:stretch>
                      <a:fillRect/>
                    </a:stretch>
                  </pic:blipFill>
                  <pic:spPr>
                    <a:xfrm>
                      <a:off x="0" y="0"/>
                      <a:ext cx="5334000" cy="2837043"/>
                    </a:xfrm>
                    <a:prstGeom prst="rect">
                      <a:avLst/>
                    </a:prstGeom>
                    <a:noFill/>
                    <a:ln w="9525">
                      <a:noFill/>
                    </a:ln>
                  </pic:spPr>
                </pic:pic>
              </a:graphicData>
            </a:graphic>
          </wp:inline>
        </w:drawing>
      </w:r>
    </w:p>
    <w:bookmarkEnd w:id="31"/>
    <w:p w14:paraId="5E2D9C52">
      <w:pPr>
        <w:pStyle w:val="5"/>
      </w:pPr>
      <w:bookmarkStart w:id="32" w:name="_Toc1057"/>
      <w:bookmarkStart w:id="33" w:name="外接异常行为手动筛查"/>
      <w:r>
        <w:rPr>
          <w:rFonts w:hint="eastAsia"/>
        </w:rPr>
        <w:t>4.3、外接异常行为手动筛查</w:t>
      </w:r>
      <w:bookmarkEnd w:id="32"/>
    </w:p>
    <w:p w14:paraId="0F1E7F3B">
      <w:pPr>
        <w:pStyle w:val="26"/>
      </w:pPr>
      <w:r>
        <w:rPr>
          <w:rFonts w:hint="eastAsia"/>
        </w:rPr>
        <w:t>本功能用于期货公司在系统上线初期（或日常运营中）以</w:t>
      </w:r>
      <w:r>
        <w:rPr>
          <w:rFonts w:hint="eastAsia"/>
          <w:b/>
          <w:bCs/>
        </w:rPr>
        <w:t>手动方式</w:t>
      </w:r>
      <w:r>
        <w:rPr>
          <w:rFonts w:hint="eastAsia"/>
        </w:rPr>
        <w:t>对存量历史数据（T+1）执行异常行为筛查。</w:t>
      </w:r>
    </w:p>
    <w:p w14:paraId="08AC0117">
      <w:pPr>
        <w:pStyle w:val="3"/>
      </w:pPr>
      <w:r>
        <w:rPr>
          <w:rFonts w:hint="eastAsia"/>
          <w:b/>
          <w:bCs/>
        </w:rPr>
        <w:t>所有筛查规则均在本页面统一完成筛查操作。</w:t>
      </w:r>
      <w:r>
        <w:t xml:space="preserve"> </w:t>
      </w:r>
      <w:r>
        <w:rPr>
          <w:rFonts w:hint="eastAsia"/>
        </w:rPr>
        <w:t>用户可通过页面中的</w:t>
      </w:r>
      <w:r>
        <w:rPr>
          <w:rFonts w:hint="eastAsia"/>
          <w:b/>
          <w:bCs/>
        </w:rPr>
        <w:t>“规则名称”下拉框</w:t>
      </w:r>
      <w:r>
        <w:rPr>
          <w:rFonts w:hint="eastAsia"/>
        </w:rPr>
        <w:t>切换不同规则，当前选中的规则决定本次查询所使用的筛查逻辑及其参数配置。</w:t>
      </w:r>
    </w:p>
    <w:p w14:paraId="11B44DE6">
      <w:pPr>
        <w:pStyle w:val="3"/>
      </w:pPr>
      <w:r>
        <w:drawing>
          <wp:inline distT="0" distB="0" distL="114300" distR="114300">
            <wp:extent cx="5334000" cy="1269365"/>
            <wp:effectExtent l="0" t="0" r="0" b="0"/>
            <wp:docPr id="161" name="Picture" descr="手动筛查页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descr="手动筛查页面"/>
                    <pic:cNvPicPr>
                      <a:picLocks noChangeAspect="1" noChangeArrowheads="1"/>
                    </pic:cNvPicPr>
                  </pic:nvPicPr>
                  <pic:blipFill>
                    <a:blip r:embed="rId43"/>
                    <a:stretch>
                      <a:fillRect/>
                    </a:stretch>
                  </pic:blipFill>
                  <pic:spPr>
                    <a:xfrm>
                      <a:off x="0" y="0"/>
                      <a:ext cx="5334000" cy="1269543"/>
                    </a:xfrm>
                    <a:prstGeom prst="rect">
                      <a:avLst/>
                    </a:prstGeom>
                    <a:noFill/>
                    <a:ln w="9525">
                      <a:noFill/>
                    </a:ln>
                  </pic:spPr>
                </pic:pic>
              </a:graphicData>
            </a:graphic>
          </wp:inline>
        </w:drawing>
      </w:r>
    </w:p>
    <w:p w14:paraId="3DFFC8B9">
      <w:pPr>
        <w:pStyle w:val="3"/>
      </w:pPr>
      <w:r>
        <w:rPr>
          <w:rFonts w:hint="eastAsia"/>
          <w:b/>
          <w:bCs/>
        </w:rPr>
        <w:t>操作按钮说明</w:t>
      </w:r>
    </w:p>
    <w:tbl>
      <w:tblPr>
        <w:tblStyle w:val="44"/>
        <w:tblW w:w="5000" w:type="pct"/>
        <w:tblInd w:w="0" w:type="dxa"/>
        <w:tblLayout w:type="fixed"/>
        <w:tblCellMar>
          <w:top w:w="0" w:type="dxa"/>
          <w:left w:w="108" w:type="dxa"/>
          <w:bottom w:w="0" w:type="dxa"/>
          <w:right w:w="108" w:type="dxa"/>
        </w:tblCellMar>
      </w:tblPr>
      <w:tblGrid>
        <w:gridCol w:w="4428"/>
        <w:gridCol w:w="4428"/>
      </w:tblGrid>
      <w:tr w14:paraId="54CC339C">
        <w:tblPrEx>
          <w:tblCellMar>
            <w:top w:w="0" w:type="dxa"/>
            <w:left w:w="108" w:type="dxa"/>
            <w:bottom w:w="0" w:type="dxa"/>
            <w:right w:w="108" w:type="dxa"/>
          </w:tblCellMar>
        </w:tblPrEx>
        <w:trPr>
          <w:tblHeader/>
        </w:trPr>
        <w:tc>
          <w:p w14:paraId="27DCE01A">
            <w:pPr>
              <w:pStyle w:val="27"/>
            </w:pPr>
            <w:r>
              <w:rPr>
                <w:rFonts w:hint="eastAsia"/>
              </w:rPr>
              <w:t>按钮名称</w:t>
            </w:r>
          </w:p>
        </w:tc>
        <w:tc>
          <w:p w14:paraId="5FFA0D92">
            <w:pPr>
              <w:pStyle w:val="27"/>
            </w:pPr>
            <w:r>
              <w:rPr>
                <w:rFonts w:hint="eastAsia"/>
              </w:rPr>
              <w:t>说明</w:t>
            </w:r>
          </w:p>
        </w:tc>
      </w:tr>
      <w:tr w14:paraId="519D6859">
        <w:tblPrEx>
          <w:tblCellMar>
            <w:top w:w="0" w:type="dxa"/>
            <w:left w:w="108" w:type="dxa"/>
            <w:bottom w:w="0" w:type="dxa"/>
            <w:right w:w="108" w:type="dxa"/>
          </w:tblCellMar>
        </w:tblPrEx>
        <w:tc>
          <w:p w14:paraId="03B075A8">
            <w:pPr>
              <w:pStyle w:val="27"/>
            </w:pPr>
            <w:r>
              <w:rPr>
                <w:rFonts w:hint="eastAsia"/>
              </w:rPr>
              <w:t>使用参数生成数据</w:t>
            </w:r>
          </w:p>
        </w:tc>
        <w:tc>
          <w:p w14:paraId="58545E2F">
            <w:pPr>
              <w:pStyle w:val="27"/>
            </w:pPr>
            <w:r>
              <w:rPr>
                <w:rFonts w:hint="eastAsia"/>
              </w:rPr>
              <w:t>根据当前选中的筛查规则及调整后的参数阈值，执行数据查询。该操作</w:t>
            </w:r>
            <w:r>
              <w:rPr>
                <w:rFonts w:hint="eastAsia"/>
                <w:b/>
                <w:bCs/>
              </w:rPr>
              <w:t>仅用于预览查询结果，不落库</w:t>
            </w:r>
            <w:r>
              <w:rPr>
                <w:rFonts w:hint="eastAsia"/>
              </w:rPr>
              <w:t>，便于期货公司验证规则效果与参数合理性。</w:t>
            </w:r>
          </w:p>
        </w:tc>
      </w:tr>
      <w:tr w14:paraId="0D793626">
        <w:tblPrEx>
          <w:tblCellMar>
            <w:top w:w="0" w:type="dxa"/>
            <w:left w:w="108" w:type="dxa"/>
            <w:bottom w:w="0" w:type="dxa"/>
            <w:right w:w="108" w:type="dxa"/>
          </w:tblCellMar>
        </w:tblPrEx>
        <w:tc>
          <w:p w14:paraId="38CEB0DD">
            <w:pPr>
              <w:pStyle w:val="27"/>
            </w:pPr>
            <w:r>
              <w:rPr>
                <w:rFonts w:hint="eastAsia"/>
              </w:rPr>
              <w:t>加入行为记录</w:t>
            </w:r>
          </w:p>
        </w:tc>
        <w:tc>
          <w:p w14:paraId="2620EB9A">
            <w:pPr>
              <w:pStyle w:val="27"/>
            </w:pPr>
            <w:r>
              <w:rPr>
                <w:rFonts w:hint="eastAsia"/>
              </w:rPr>
              <w:t>将当前查询结果正式落地，保存至【外接异常行为记录】页面，供后续追溯与管理。</w:t>
            </w:r>
          </w:p>
        </w:tc>
      </w:tr>
      <w:tr w14:paraId="7EA48864">
        <w:tblPrEx>
          <w:tblCellMar>
            <w:top w:w="0" w:type="dxa"/>
            <w:left w:w="108" w:type="dxa"/>
            <w:bottom w:w="0" w:type="dxa"/>
            <w:right w:w="108" w:type="dxa"/>
          </w:tblCellMar>
        </w:tblPrEx>
        <w:tc>
          <w:p w14:paraId="3D0A43E1">
            <w:pPr>
              <w:pStyle w:val="27"/>
            </w:pPr>
            <w:r>
              <w:rPr>
                <w:rFonts w:hint="eastAsia"/>
              </w:rPr>
              <w:t>加入到回访列表</w:t>
            </w:r>
          </w:p>
        </w:tc>
        <w:tc>
          <w:p w14:paraId="11AA1A47">
            <w:pPr>
              <w:pStyle w:val="27"/>
            </w:pPr>
            <w:r>
              <w:rPr>
                <w:rFonts w:hint="eastAsia"/>
              </w:rPr>
              <w:t>将已落地的当前批次筛查结果添加至【外接客户回访】清单。</w:t>
            </w:r>
            <w:r>
              <w:rPr>
                <w:rFonts w:hint="eastAsia"/>
                <w:b/>
                <w:bCs/>
              </w:rPr>
              <w:t>该操作需先完成”加入行为记录”</w:t>
            </w:r>
            <w:r>
              <w:rPr>
                <w:rFonts w:hint="eastAsia"/>
              </w:rPr>
              <w:t>，若当前查询结果尚未落地，点击后将弹出提示（如”请先将数据加入行为记录”），不予执行。确认落库后，方可正常加入回访清单。</w:t>
            </w:r>
          </w:p>
        </w:tc>
      </w:tr>
      <w:tr w14:paraId="4D554152">
        <w:tblPrEx>
          <w:tblCellMar>
            <w:top w:w="0" w:type="dxa"/>
            <w:left w:w="108" w:type="dxa"/>
            <w:bottom w:w="0" w:type="dxa"/>
            <w:right w:w="108" w:type="dxa"/>
          </w:tblCellMar>
        </w:tblPrEx>
        <w:tc>
          <w:p w14:paraId="1697B5DE">
            <w:pPr>
              <w:pStyle w:val="27"/>
            </w:pPr>
            <w:r>
              <w:rPr>
                <w:rFonts w:hint="eastAsia"/>
              </w:rPr>
              <w:t>导出</w:t>
            </w:r>
          </w:p>
        </w:tc>
        <w:tc>
          <w:p w14:paraId="708FAD2B">
            <w:pPr>
              <w:pStyle w:val="27"/>
            </w:pPr>
            <w:r>
              <w:rPr>
                <w:rFonts w:hint="eastAsia"/>
              </w:rPr>
              <w:t>将当前查询结果导出为</w:t>
            </w:r>
            <w:r>
              <w:t xml:space="preserve"> Excel </w:t>
            </w:r>
            <w:r>
              <w:rPr>
                <w:rFonts w:hint="eastAsia"/>
              </w:rPr>
              <w:t>文件，便于线下分析、存档或业务沟通。</w:t>
            </w:r>
          </w:p>
        </w:tc>
      </w:tr>
    </w:tbl>
    <w:p w14:paraId="09E5D67A">
      <w:pPr>
        <w:pStyle w:val="3"/>
      </w:pPr>
      <w:r>
        <w:rPr>
          <w:rFonts w:hint="eastAsia"/>
          <w:b/>
          <w:bCs/>
        </w:rPr>
        <w:t>规则说明</w:t>
      </w:r>
    </w:p>
    <w:tbl>
      <w:tblPr>
        <w:tblStyle w:val="44"/>
        <w:tblW w:w="5000" w:type="pct"/>
        <w:tblInd w:w="0" w:type="dxa"/>
        <w:tblLayout w:type="fixed"/>
        <w:tblCellMar>
          <w:top w:w="0" w:type="dxa"/>
          <w:left w:w="108" w:type="dxa"/>
          <w:bottom w:w="0" w:type="dxa"/>
          <w:right w:w="108" w:type="dxa"/>
        </w:tblCellMar>
      </w:tblPr>
      <w:tblGrid>
        <w:gridCol w:w="2952"/>
        <w:gridCol w:w="2952"/>
        <w:gridCol w:w="2952"/>
      </w:tblGrid>
      <w:tr w14:paraId="7770B73B">
        <w:tblPrEx>
          <w:tblCellMar>
            <w:top w:w="0" w:type="dxa"/>
            <w:left w:w="108" w:type="dxa"/>
            <w:bottom w:w="0" w:type="dxa"/>
            <w:right w:w="108" w:type="dxa"/>
          </w:tblCellMar>
        </w:tblPrEx>
        <w:trPr>
          <w:tblHeader/>
        </w:trPr>
        <w:tc>
          <w:p w14:paraId="6AC46D86">
            <w:pPr>
              <w:pStyle w:val="27"/>
            </w:pPr>
            <w:r>
              <w:rPr>
                <w:rFonts w:hint="eastAsia"/>
              </w:rPr>
              <w:t>规则名称</w:t>
            </w:r>
          </w:p>
        </w:tc>
        <w:tc>
          <w:p w14:paraId="15628A0C">
            <w:pPr>
              <w:pStyle w:val="27"/>
            </w:pPr>
            <w:r>
              <w:rPr>
                <w:rFonts w:hint="eastAsia"/>
              </w:rPr>
              <w:t>规则描述</w:t>
            </w:r>
          </w:p>
        </w:tc>
        <w:tc>
          <w:p w14:paraId="2275A72C">
            <w:pPr>
              <w:pStyle w:val="27"/>
            </w:pPr>
            <w:r>
              <w:rPr>
                <w:rFonts w:hint="eastAsia"/>
              </w:rPr>
              <w:t>规则参数（带</w:t>
            </w:r>
            <w:r>
              <w:t xml:space="preserve"> * </w:t>
            </w:r>
            <w:r>
              <w:rPr>
                <w:rFonts w:hint="eastAsia"/>
              </w:rPr>
              <w:t>为必填）</w:t>
            </w:r>
          </w:p>
        </w:tc>
      </w:tr>
      <w:tr w14:paraId="7B0BF9A1">
        <w:tblPrEx>
          <w:tblCellMar>
            <w:top w:w="0" w:type="dxa"/>
            <w:left w:w="108" w:type="dxa"/>
            <w:bottom w:w="0" w:type="dxa"/>
            <w:right w:w="108" w:type="dxa"/>
          </w:tblCellMar>
        </w:tblPrEx>
        <w:tc>
          <w:p w14:paraId="0345BF79">
            <w:pPr>
              <w:pStyle w:val="27"/>
            </w:pPr>
            <w:r>
              <w:t xml:space="preserve">E000 </w:t>
            </w:r>
            <w:r>
              <w:rPr>
                <w:rFonts w:hint="eastAsia"/>
              </w:rPr>
              <w:t>外接客户日内同址交易</w:t>
            </w:r>
          </w:p>
        </w:tc>
        <w:tc>
          <w:p w14:paraId="13A3F74A">
            <w:pPr>
              <w:pStyle w:val="27"/>
            </w:pPr>
            <w:r>
              <w:rPr>
                <w:rFonts w:hint="eastAsia"/>
              </w:rPr>
              <w:t>在【查询开始日期】至【结束日期】的时间范围内，针对外接、程序化客户，若其在同一交易日内，与其他客户发生同址交易，且两笔交易的时间差小于</w:t>
            </w:r>
            <w:r>
              <w:t xml:space="preserve"> 1 </w:t>
            </w:r>
            <w:r>
              <w:rPr>
                <w:rFonts w:hint="eastAsia"/>
              </w:rPr>
              <w:t>分钟（不含），则命中该规则。其中，“同址交易”定义为交易报单的</w:t>
            </w:r>
            <w:r>
              <w:t xml:space="preserve"> IP </w:t>
            </w:r>
            <w:r>
              <w:rPr>
                <w:rFonts w:hint="eastAsia"/>
              </w:rPr>
              <w:t>地址和</w:t>
            </w:r>
            <w:r>
              <w:t xml:space="preserve"> MAC </w:t>
            </w:r>
            <w:r>
              <w:rPr>
                <w:rFonts w:hint="eastAsia"/>
              </w:rPr>
              <w:t>地址均完全相同。</w:t>
            </w:r>
          </w:p>
        </w:tc>
        <w:tc>
          <w:p w14:paraId="2CAA4F5D">
            <w:pPr>
              <w:pStyle w:val="27"/>
            </w:pPr>
            <w:r>
              <w:rPr>
                <w:rFonts w:hint="eastAsia"/>
              </w:rPr>
              <w:t>*查询开始日期*结束日期*是否外接客户*是否程序化客户所属部门投资者代码</w:t>
            </w:r>
            <w:r>
              <w:t>IPMAC</w:t>
            </w:r>
          </w:p>
        </w:tc>
      </w:tr>
      <w:tr w14:paraId="2425A33B">
        <w:tblPrEx>
          <w:tblCellMar>
            <w:top w:w="0" w:type="dxa"/>
            <w:left w:w="108" w:type="dxa"/>
            <w:bottom w:w="0" w:type="dxa"/>
            <w:right w:w="108" w:type="dxa"/>
          </w:tblCellMar>
        </w:tblPrEx>
        <w:tc>
          <w:p w14:paraId="434522E7">
            <w:pPr>
              <w:pStyle w:val="27"/>
            </w:pPr>
            <w:r>
              <w:t xml:space="preserve">E001 </w:t>
            </w:r>
            <w:r>
              <w:rPr>
                <w:rFonts w:hint="eastAsia"/>
              </w:rPr>
              <w:t>外接客户日内同址登录</w:t>
            </w:r>
          </w:p>
        </w:tc>
        <w:tc>
          <w:p w14:paraId="3B93F1E7">
            <w:pPr>
              <w:pStyle w:val="27"/>
            </w:pPr>
            <w:r>
              <w:rPr>
                <w:rFonts w:hint="eastAsia"/>
              </w:rPr>
              <w:t>在【查询开始日期】至【结束日期】的时间范围内，针对外接、程序化客户，若其在同一交易日内，与其他客户发生同址登录，则命中该规则。其中，“同址登录”定义为登录的</w:t>
            </w:r>
            <w:r>
              <w:t xml:space="preserve"> IP </w:t>
            </w:r>
            <w:r>
              <w:rPr>
                <w:rFonts w:hint="eastAsia"/>
              </w:rPr>
              <w:t>地址和</w:t>
            </w:r>
            <w:r>
              <w:t xml:space="preserve"> MAC </w:t>
            </w:r>
            <w:r>
              <w:rPr>
                <w:rFonts w:hint="eastAsia"/>
              </w:rPr>
              <w:t>地址均完全相同。</w:t>
            </w:r>
          </w:p>
        </w:tc>
        <w:tc>
          <w:p w14:paraId="3A65C21D">
            <w:pPr>
              <w:pStyle w:val="27"/>
            </w:pPr>
            <w:r>
              <w:rPr>
                <w:rFonts w:hint="eastAsia"/>
              </w:rPr>
              <w:t>*查询开始日期*结束日期*是否外接客户*是否程序化客户所属部门投资者代码</w:t>
            </w:r>
            <w:r>
              <w:t>IPMAC</w:t>
            </w:r>
          </w:p>
        </w:tc>
      </w:tr>
      <w:tr w14:paraId="42257897">
        <w:tblPrEx>
          <w:tblCellMar>
            <w:top w:w="0" w:type="dxa"/>
            <w:left w:w="108" w:type="dxa"/>
            <w:bottom w:w="0" w:type="dxa"/>
            <w:right w:w="108" w:type="dxa"/>
          </w:tblCellMar>
        </w:tblPrEx>
        <w:tc>
          <w:p w14:paraId="0D255CF5">
            <w:pPr>
              <w:pStyle w:val="27"/>
            </w:pPr>
            <w:r>
              <w:t xml:space="preserve">E002 </w:t>
            </w:r>
            <w:r>
              <w:rPr>
                <w:rFonts w:hint="eastAsia"/>
              </w:rPr>
              <w:t>外接客户日内频繁大量报撤单</w:t>
            </w:r>
          </w:p>
        </w:tc>
        <w:tc>
          <w:p w14:paraId="1D5FB42F">
            <w:pPr>
              <w:pStyle w:val="27"/>
            </w:pPr>
            <w:r>
              <w:rPr>
                <w:rFonts w:hint="eastAsia"/>
              </w:rPr>
              <w:t>对于【查询开始日期】至【结束日期】内的每一个交易日，针对外接、程序化客户，按交易所分别统计外接客户在每分钟内的报单与撤单总笔数（即信息量）。若任意一分钟内的信息量超过预设阈值（默认</w:t>
            </w:r>
            <w:r>
              <w:t xml:space="preserve"> </w:t>
            </w:r>
            <w:r>
              <w:rPr>
                <w:rFonts w:hint="eastAsia"/>
              </w:rPr>
              <w:t>400，可调整），则该外接客户命中。</w:t>
            </w:r>
          </w:p>
        </w:tc>
        <w:tc>
          <w:p w14:paraId="11887A9E">
            <w:pPr>
              <w:pStyle w:val="27"/>
            </w:pPr>
            <w:r>
              <w:rPr>
                <w:rFonts w:hint="eastAsia"/>
              </w:rPr>
              <w:t>*查询开始日期*结束日期*信息量&gt;*是否外接客户*是否程序化客户投资者代码</w:t>
            </w:r>
          </w:p>
        </w:tc>
      </w:tr>
      <w:tr w14:paraId="46752E68">
        <w:tblPrEx>
          <w:tblCellMar>
            <w:top w:w="0" w:type="dxa"/>
            <w:left w:w="108" w:type="dxa"/>
            <w:bottom w:w="0" w:type="dxa"/>
            <w:right w:w="108" w:type="dxa"/>
          </w:tblCellMar>
        </w:tblPrEx>
        <w:tc>
          <w:p w14:paraId="72243DD5">
            <w:pPr>
              <w:pStyle w:val="27"/>
            </w:pPr>
            <w:r>
              <w:rPr>
                <w:rFonts w:hint="eastAsia"/>
              </w:rPr>
              <w:t>E003（分子账户监控）日内登录中继</w:t>
            </w:r>
            <w:r>
              <w:t xml:space="preserve"> MAC </w:t>
            </w:r>
            <w:r>
              <w:rPr>
                <w:rFonts w:hint="eastAsia"/>
              </w:rPr>
              <w:t>异常</w:t>
            </w:r>
          </w:p>
        </w:tc>
        <w:tc>
          <w:p w14:paraId="3497860E">
            <w:pPr>
              <w:pStyle w:val="27"/>
            </w:pPr>
            <w:r>
              <w:rPr>
                <w:rFonts w:hint="eastAsia"/>
              </w:rPr>
              <w:t>在【查询开始日期】至【结束日期】的时间范围内，针对外接、程序化客户，以系统【外接客户信息登记】及【程序化客户信息登记】中维护的</w:t>
            </w:r>
            <w:r>
              <w:t xml:space="preserve"> appid </w:t>
            </w:r>
            <w:r>
              <w:rPr>
                <w:rFonts w:hint="eastAsia"/>
              </w:rPr>
              <w:t>作为客户识别依据，统计其在同一交易日内关联的登录终端</w:t>
            </w:r>
            <w:r>
              <w:t xml:space="preserve"> MAC </w:t>
            </w:r>
            <w:r>
              <w:rPr>
                <w:rFonts w:hint="eastAsia"/>
              </w:rPr>
              <w:t>地址数量。若该数量超过【MAC</w:t>
            </w:r>
            <w:r>
              <w:t xml:space="preserve"> </w:t>
            </w:r>
            <w:r>
              <w:rPr>
                <w:rFonts w:hint="eastAsia"/>
              </w:rPr>
              <w:t>个数阈值】（默认值</w:t>
            </w:r>
            <w:r>
              <w:t xml:space="preserve"> </w:t>
            </w:r>
            <w:r>
              <w:rPr>
                <w:rFonts w:hint="eastAsia"/>
              </w:rPr>
              <w:t>10，可调整），则命中该规则。此外，支持输入指定的</w:t>
            </w:r>
            <w:r>
              <w:t xml:space="preserve"> MAC </w:t>
            </w:r>
            <w:r>
              <w:rPr>
                <w:rFonts w:hint="eastAsia"/>
              </w:rPr>
              <w:t>地址进行精准筛查，即仅统计包含该</w:t>
            </w:r>
            <w:r>
              <w:t xml:space="preserve"> MAC </w:t>
            </w:r>
            <w:r>
              <w:rPr>
                <w:rFonts w:hint="eastAsia"/>
              </w:rPr>
              <w:t>地址的交易记录或仅筛查命中该</w:t>
            </w:r>
            <w:r>
              <w:t xml:space="preserve"> MAC </w:t>
            </w:r>
            <w:r>
              <w:rPr>
                <w:rFonts w:hint="eastAsia"/>
              </w:rPr>
              <w:t>地址的客户（可根据实际筛查意图配置）。</w:t>
            </w:r>
          </w:p>
        </w:tc>
        <w:tc>
          <w:p w14:paraId="72219919">
            <w:pPr>
              <w:pStyle w:val="27"/>
            </w:pPr>
            <w:r>
              <w:rPr>
                <w:rFonts w:hint="eastAsia"/>
              </w:rPr>
              <w:t>*查询开始日期*结束日期</w:t>
            </w:r>
            <w:r>
              <w:t xml:space="preserve">*MAC </w:t>
            </w:r>
            <w:r>
              <w:rPr>
                <w:rFonts w:hint="eastAsia"/>
              </w:rPr>
              <w:t>个数&gt;*是否外接客户*是否程序化客户投资者代码</w:t>
            </w:r>
            <w:r>
              <w:t>MAC</w:t>
            </w:r>
          </w:p>
        </w:tc>
      </w:tr>
      <w:tr w14:paraId="4961B3C5">
        <w:tblPrEx>
          <w:tblCellMar>
            <w:top w:w="0" w:type="dxa"/>
            <w:left w:w="108" w:type="dxa"/>
            <w:bottom w:w="0" w:type="dxa"/>
            <w:right w:w="108" w:type="dxa"/>
          </w:tblCellMar>
        </w:tblPrEx>
        <w:tc>
          <w:p w14:paraId="1EA7ABC3">
            <w:pPr>
              <w:pStyle w:val="27"/>
            </w:pPr>
            <w:r>
              <w:t xml:space="preserve">E004 </w:t>
            </w:r>
            <w:r>
              <w:rPr>
                <w:rFonts w:hint="eastAsia"/>
              </w:rPr>
              <w:t>外接客户日内频繁变更报单</w:t>
            </w:r>
            <w:r>
              <w:t xml:space="preserve"> MAC</w:t>
            </w:r>
          </w:p>
        </w:tc>
        <w:tc>
          <w:p w14:paraId="6060C579">
            <w:pPr>
              <w:pStyle w:val="27"/>
            </w:pPr>
            <w:r>
              <w:rPr>
                <w:rFonts w:hint="eastAsia"/>
              </w:rPr>
              <w:t>在【查询开始日期】至【结束日期】的时间范围内，针对外接、程序化客户，统计其在同一交易日内报单记录中出现的</w:t>
            </w:r>
            <w:r>
              <w:t xml:space="preserve"> MAC </w:t>
            </w:r>
            <w:r>
              <w:rPr>
                <w:rFonts w:hint="eastAsia"/>
              </w:rPr>
              <w:t>地址去重数量。若该数量超过【MAC</w:t>
            </w:r>
            <w:r>
              <w:t xml:space="preserve"> </w:t>
            </w:r>
            <w:r>
              <w:rPr>
                <w:rFonts w:hint="eastAsia"/>
              </w:rPr>
              <w:t>个数阈值】（默认值</w:t>
            </w:r>
            <w:r>
              <w:t xml:space="preserve"> </w:t>
            </w:r>
            <w:r>
              <w:rPr>
                <w:rFonts w:hint="eastAsia"/>
              </w:rPr>
              <w:t>10，可调整），则命中该规则。此外，支持输入指定的</w:t>
            </w:r>
            <w:r>
              <w:t xml:space="preserve"> MAC </w:t>
            </w:r>
            <w:r>
              <w:rPr>
                <w:rFonts w:hint="eastAsia"/>
              </w:rPr>
              <w:t>地址进行精准筛查（如仅统计包含该</w:t>
            </w:r>
            <w:r>
              <w:t xml:space="preserve"> MAC </w:t>
            </w:r>
            <w:r>
              <w:rPr>
                <w:rFonts w:hint="eastAsia"/>
              </w:rPr>
              <w:t>地址的报单，或筛查命中该</w:t>
            </w:r>
            <w:r>
              <w:t xml:space="preserve"> MAC </w:t>
            </w:r>
            <w:r>
              <w:rPr>
                <w:rFonts w:hint="eastAsia"/>
              </w:rPr>
              <w:t>地址的客户）。</w:t>
            </w:r>
          </w:p>
        </w:tc>
        <w:tc>
          <w:p w14:paraId="16742F4A">
            <w:pPr>
              <w:pStyle w:val="27"/>
            </w:pPr>
            <w:r>
              <w:rPr>
                <w:rFonts w:hint="eastAsia"/>
              </w:rPr>
              <w:t>*查询开始日期*结束日期</w:t>
            </w:r>
            <w:r>
              <w:t xml:space="preserve">*MAC </w:t>
            </w:r>
            <w:r>
              <w:rPr>
                <w:rFonts w:hint="eastAsia"/>
              </w:rPr>
              <w:t>个数&gt;*是否外接客户*是否程序化客户投资者代码</w:t>
            </w:r>
            <w:r>
              <w:t>MAC</w:t>
            </w:r>
          </w:p>
        </w:tc>
      </w:tr>
      <w:tr w14:paraId="38A28B3C">
        <w:tblPrEx>
          <w:tblCellMar>
            <w:top w:w="0" w:type="dxa"/>
            <w:left w:w="108" w:type="dxa"/>
            <w:bottom w:w="0" w:type="dxa"/>
            <w:right w:w="108" w:type="dxa"/>
          </w:tblCellMar>
        </w:tblPrEx>
        <w:tc>
          <w:p w14:paraId="10CD0848">
            <w:pPr>
              <w:pStyle w:val="27"/>
            </w:pPr>
            <w:r>
              <w:t xml:space="preserve">E005 </w:t>
            </w:r>
            <w:r>
              <w:rPr>
                <w:rFonts w:hint="eastAsia"/>
              </w:rPr>
              <w:t>外接客户月内交易改密转账</w:t>
            </w:r>
            <w:r>
              <w:t xml:space="preserve"> MAC </w:t>
            </w:r>
            <w:r>
              <w:rPr>
                <w:rFonts w:hint="eastAsia"/>
              </w:rPr>
              <w:t>异常</w:t>
            </w:r>
          </w:p>
        </w:tc>
        <w:tc>
          <w:p w14:paraId="2B5ADC45">
            <w:pPr>
              <w:pStyle w:val="27"/>
            </w:pPr>
            <w:r>
              <w:rPr>
                <w:rFonts w:hint="eastAsia"/>
              </w:rPr>
              <w:t>在【查询开始日期】至【结束日期】的时间范围内，针对外接、程序化客户，按时间范围内统计其在交易、修改密码、银期转账三类操作中使用的</w:t>
            </w:r>
            <w:r>
              <w:t xml:space="preserve"> MAC </w:t>
            </w:r>
            <w:r>
              <w:rPr>
                <w:rFonts w:hint="eastAsia"/>
              </w:rPr>
              <w:t>地址。若该客户在时间范围内至少发生上述三类操作中的两类，且这些操作所使用的</w:t>
            </w:r>
            <w:r>
              <w:t xml:space="preserve"> MAC </w:t>
            </w:r>
            <w:r>
              <w:rPr>
                <w:rFonts w:hint="eastAsia"/>
              </w:rPr>
              <w:t>地址并非全部相同（即任意两项操作的</w:t>
            </w:r>
            <w:r>
              <w:t xml:space="preserve"> MAC </w:t>
            </w:r>
            <w:r>
              <w:rPr>
                <w:rFonts w:hint="eastAsia"/>
              </w:rPr>
              <w:t>地址存在不相同的情况），则命中该规则。</w:t>
            </w:r>
          </w:p>
        </w:tc>
        <w:tc>
          <w:p w14:paraId="04875E05">
            <w:pPr>
              <w:pStyle w:val="27"/>
            </w:pPr>
            <w:r>
              <w:rPr>
                <w:rFonts w:hint="eastAsia"/>
              </w:rPr>
              <w:t>*查询开始日期*结束日期*是否外接客户*是否程序化客户投资者代码</w:t>
            </w:r>
          </w:p>
        </w:tc>
      </w:tr>
      <w:tr w14:paraId="5C70CD9C">
        <w:tblPrEx>
          <w:tblCellMar>
            <w:top w:w="0" w:type="dxa"/>
            <w:left w:w="108" w:type="dxa"/>
            <w:bottom w:w="0" w:type="dxa"/>
            <w:right w:w="108" w:type="dxa"/>
          </w:tblCellMar>
        </w:tblPrEx>
        <w:tc>
          <w:p w14:paraId="21E969D6">
            <w:pPr>
              <w:pStyle w:val="27"/>
            </w:pPr>
            <w:r>
              <w:t xml:space="preserve">E006 </w:t>
            </w:r>
            <w:r>
              <w:rPr>
                <w:rFonts w:hint="eastAsia"/>
              </w:rPr>
              <w:t>外接客户月内手续费率、保证金率频繁调整</w:t>
            </w:r>
          </w:p>
        </w:tc>
        <w:tc>
          <w:p w14:paraId="34E7F636">
            <w:pPr>
              <w:pStyle w:val="27"/>
            </w:pPr>
            <w:r>
              <w:rPr>
                <w:rFonts w:hint="eastAsia"/>
              </w:rPr>
              <w:t>在【查询开始日期】至【结束日期】的时间范围内，针对外接、程序化客户，按时间范围内分别统计其手续费率模板的变更次数以及保证金率模板的变更次数。若时间范围内手续费率模板变更次数超过【手续费率模板数阈值】（默认值</w:t>
            </w:r>
            <w:r>
              <w:t xml:space="preserve"> </w:t>
            </w:r>
            <w:r>
              <w:rPr>
                <w:rFonts w:hint="eastAsia"/>
              </w:rPr>
              <w:t>3，可调整），或保证金率模板变更次数超过【保证金率模板数阈值】（默认值</w:t>
            </w:r>
            <w:r>
              <w:t xml:space="preserve"> </w:t>
            </w:r>
            <w:r>
              <w:rPr>
                <w:rFonts w:hint="eastAsia"/>
              </w:rPr>
              <w:t>3，可调整），则命中该规则。</w:t>
            </w:r>
          </w:p>
        </w:tc>
        <w:tc>
          <w:p w14:paraId="2297A7C2">
            <w:pPr>
              <w:pStyle w:val="27"/>
            </w:pPr>
            <w:r>
              <w:rPr>
                <w:rFonts w:hint="eastAsia"/>
              </w:rPr>
              <w:t>*查询开始日期*结束日期*手续费率模版数&gt;*保证金率模版数&gt;*是否外接客户*是否程序化客户投资者代码</w:t>
            </w:r>
          </w:p>
        </w:tc>
      </w:tr>
      <w:tr w14:paraId="30AAF074">
        <w:tblPrEx>
          <w:tblCellMar>
            <w:top w:w="0" w:type="dxa"/>
            <w:left w:w="108" w:type="dxa"/>
            <w:bottom w:w="0" w:type="dxa"/>
            <w:right w:w="108" w:type="dxa"/>
          </w:tblCellMar>
        </w:tblPrEx>
        <w:tc>
          <w:p w14:paraId="0D8E359E">
            <w:pPr>
              <w:pStyle w:val="27"/>
            </w:pPr>
            <w:r>
              <w:t xml:space="preserve">E007 </w:t>
            </w:r>
            <w:r>
              <w:rPr>
                <w:rFonts w:hint="eastAsia"/>
              </w:rPr>
              <w:t>外接客户月内频繁修改密码</w:t>
            </w:r>
          </w:p>
        </w:tc>
        <w:tc>
          <w:p w14:paraId="229C9A7A">
            <w:pPr>
              <w:pStyle w:val="27"/>
            </w:pPr>
            <w:r>
              <w:rPr>
                <w:rFonts w:hint="eastAsia"/>
              </w:rPr>
              <w:t>在【查询开始日期】至【结束日期】的时间范围内，针对外接、程序化客户，按时间范围内统计其修改密码的次数。若该客户在时间范围内修改密码总次数超过【区间内改密次数阈值】（默认</w:t>
            </w:r>
            <w:r>
              <w:t xml:space="preserve"> 10 </w:t>
            </w:r>
            <w:r>
              <w:rPr>
                <w:rFonts w:hint="eastAsia"/>
              </w:rPr>
              <w:t>次，可调整），并且在时间范围内存在至少一个交易日，其单日修改密码次数超过【1</w:t>
            </w:r>
            <w:r>
              <w:t xml:space="preserve"> </w:t>
            </w:r>
            <w:r>
              <w:rPr>
                <w:rFonts w:hint="eastAsia"/>
              </w:rPr>
              <w:t>天内改密次数阈值】（默认</w:t>
            </w:r>
            <w:r>
              <w:t xml:space="preserve"> 3 </w:t>
            </w:r>
            <w:r>
              <w:rPr>
                <w:rFonts w:hint="eastAsia"/>
              </w:rPr>
              <w:t>次，可调整），则命中该规则。</w:t>
            </w:r>
          </w:p>
        </w:tc>
        <w:tc>
          <w:p w14:paraId="67E4AC9B">
            <w:pPr>
              <w:pStyle w:val="27"/>
            </w:pPr>
            <w:r>
              <w:rPr>
                <w:rFonts w:hint="eastAsia"/>
              </w:rPr>
              <w:t>*查询开始日期*结束日期</w:t>
            </w:r>
            <w:r>
              <w:t xml:space="preserve">*1 </w:t>
            </w:r>
            <w:r>
              <w:rPr>
                <w:rFonts w:hint="eastAsia"/>
              </w:rPr>
              <w:t>天内改密次数&gt;*区间内改密次数&gt;*是否外接客户*是否程序化客户投资者代码</w:t>
            </w:r>
          </w:p>
        </w:tc>
      </w:tr>
      <w:tr w14:paraId="077FC31A">
        <w:tblPrEx>
          <w:tblCellMar>
            <w:top w:w="0" w:type="dxa"/>
            <w:left w:w="108" w:type="dxa"/>
            <w:bottom w:w="0" w:type="dxa"/>
            <w:right w:w="108" w:type="dxa"/>
          </w:tblCellMar>
        </w:tblPrEx>
        <w:tc>
          <w:p w14:paraId="4008B1ED">
            <w:pPr>
              <w:pStyle w:val="27"/>
            </w:pPr>
            <w:r>
              <w:rPr>
                <w:rFonts w:hint="eastAsia"/>
              </w:rPr>
              <w:t>E008（分子账户监控）月内频繁出入金</w:t>
            </w:r>
          </w:p>
        </w:tc>
        <w:tc>
          <w:p w14:paraId="02D8694F">
            <w:pPr>
              <w:pStyle w:val="27"/>
            </w:pPr>
            <w:r>
              <w:rPr>
                <w:rFonts w:hint="eastAsia"/>
              </w:rPr>
              <w:t>在【查询开始日期】至【结束日期】的时间范围内，针对外接、程序化客户，按时间范围内统计其入金与出金的总次数（入金次数+出金次数）。若时间范围内出入金总次数超过【出入金次数阈值】（默认值</w:t>
            </w:r>
            <w:r>
              <w:t xml:space="preserve"> </w:t>
            </w:r>
            <w:r>
              <w:rPr>
                <w:rFonts w:hint="eastAsia"/>
              </w:rPr>
              <w:t>20，可调整），则命中该规则。</w:t>
            </w:r>
          </w:p>
        </w:tc>
        <w:tc>
          <w:p w14:paraId="286E20E2">
            <w:pPr>
              <w:pStyle w:val="27"/>
            </w:pPr>
            <w:r>
              <w:rPr>
                <w:rFonts w:hint="eastAsia"/>
              </w:rPr>
              <w:t>*查询开始日期*结束日期*出入金次数&gt;*是否外接客户*是否程序化客户投资者代码</w:t>
            </w:r>
          </w:p>
        </w:tc>
      </w:tr>
      <w:bookmarkEnd w:id="33"/>
    </w:tbl>
    <w:p w14:paraId="7C4EFBAB">
      <w:pPr>
        <w:pStyle w:val="5"/>
      </w:pPr>
      <w:bookmarkStart w:id="34" w:name="_Toc21579"/>
      <w:bookmarkStart w:id="35" w:name="外接异常行为记录"/>
      <w:r>
        <w:rPr>
          <w:rFonts w:hint="eastAsia"/>
        </w:rPr>
        <w:t>4.4、外接异常行为记录</w:t>
      </w:r>
      <w:bookmarkEnd w:id="34"/>
    </w:p>
    <w:p w14:paraId="4C349316">
      <w:pPr>
        <w:pStyle w:val="26"/>
      </w:pPr>
      <w:r>
        <w:rPr>
          <w:rFonts w:hint="eastAsia"/>
        </w:rPr>
        <w:t>本页面用于展示通过</w:t>
      </w:r>
      <w:r>
        <w:rPr>
          <w:rFonts w:hint="eastAsia"/>
          <w:b/>
          <w:bCs/>
        </w:rPr>
        <w:t>手动筛查落地</w:t>
      </w:r>
      <w:r>
        <w:rPr>
          <w:rFonts w:hint="eastAsia"/>
        </w:rPr>
        <w:t>或</w:t>
      </w:r>
      <w:r>
        <w:rPr>
          <w:rFonts w:hint="eastAsia"/>
          <w:b/>
          <w:bCs/>
        </w:rPr>
        <w:t>自动化任务落地</w:t>
      </w:r>
      <w:r>
        <w:rPr>
          <w:rFonts w:hint="eastAsia"/>
        </w:rPr>
        <w:t>的外接客户异常行为记录。用户可根据规则与数据批次，回溯客户在特定历史时点的异常行为详情，便于后续追溯、审计与分析。</w:t>
      </w:r>
    </w:p>
    <w:p w14:paraId="1DCB6DAA">
      <w:pPr>
        <w:pStyle w:val="3"/>
      </w:pPr>
      <w:r>
        <w:drawing>
          <wp:inline distT="0" distB="0" distL="114300" distR="114300">
            <wp:extent cx="5334000" cy="1844675"/>
            <wp:effectExtent l="0" t="0" r="0" b="0"/>
            <wp:docPr id="165" name="Picture" descr="异常行为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descr="异常行为记录"/>
                    <pic:cNvPicPr>
                      <a:picLocks noChangeAspect="1" noChangeArrowheads="1"/>
                    </pic:cNvPicPr>
                  </pic:nvPicPr>
                  <pic:blipFill>
                    <a:blip r:embed="rId44"/>
                    <a:stretch>
                      <a:fillRect/>
                    </a:stretch>
                  </pic:blipFill>
                  <pic:spPr>
                    <a:xfrm>
                      <a:off x="0" y="0"/>
                      <a:ext cx="5334000" cy="1844794"/>
                    </a:xfrm>
                    <a:prstGeom prst="rect">
                      <a:avLst/>
                    </a:prstGeom>
                    <a:noFill/>
                    <a:ln w="9525">
                      <a:noFill/>
                    </a:ln>
                  </pic:spPr>
                </pic:pic>
              </a:graphicData>
            </a:graphic>
          </wp:inline>
        </w:drawing>
      </w:r>
    </w:p>
    <w:p w14:paraId="78023F76">
      <w:pPr>
        <w:pStyle w:val="3"/>
      </w:pPr>
      <w:r>
        <w:rPr>
          <w:rFonts w:hint="eastAsia"/>
        </w:rPr>
        <w:t>页面提供两个核心筛选维度，联动使用以定位目标数据批次：</w:t>
      </w:r>
    </w:p>
    <w:tbl>
      <w:tblPr>
        <w:tblStyle w:val="44"/>
        <w:tblW w:w="5000" w:type="pct"/>
        <w:tblInd w:w="0" w:type="dxa"/>
        <w:tblLayout w:type="fixed"/>
        <w:tblCellMar>
          <w:top w:w="0" w:type="dxa"/>
          <w:left w:w="108" w:type="dxa"/>
          <w:bottom w:w="0" w:type="dxa"/>
          <w:right w:w="108" w:type="dxa"/>
        </w:tblCellMar>
      </w:tblPr>
      <w:tblGrid>
        <w:gridCol w:w="4428"/>
        <w:gridCol w:w="4428"/>
      </w:tblGrid>
      <w:tr w14:paraId="7320FE55">
        <w:tblPrEx>
          <w:tblCellMar>
            <w:top w:w="0" w:type="dxa"/>
            <w:left w:w="108" w:type="dxa"/>
            <w:bottom w:w="0" w:type="dxa"/>
            <w:right w:w="108" w:type="dxa"/>
          </w:tblCellMar>
        </w:tblPrEx>
        <w:trPr>
          <w:tblHeader/>
        </w:trPr>
        <w:tc>
          <w:p w14:paraId="5E76E402">
            <w:pPr>
              <w:pStyle w:val="27"/>
            </w:pPr>
            <w:r>
              <w:rPr>
                <w:rFonts w:hint="eastAsia"/>
              </w:rPr>
              <w:t>筛选项</w:t>
            </w:r>
          </w:p>
        </w:tc>
        <w:tc>
          <w:p w14:paraId="40CBD61D">
            <w:pPr>
              <w:pStyle w:val="27"/>
            </w:pPr>
            <w:r>
              <w:rPr>
                <w:rFonts w:hint="eastAsia"/>
              </w:rPr>
              <w:t>说明</w:t>
            </w:r>
          </w:p>
        </w:tc>
      </w:tr>
      <w:tr w14:paraId="375C43B6">
        <w:tc>
          <w:p w14:paraId="5E54B2AE">
            <w:pPr>
              <w:pStyle w:val="27"/>
            </w:pPr>
            <w:r>
              <w:drawing>
                <wp:inline distT="0" distB="0" distL="114300" distR="114300">
                  <wp:extent cx="3327400" cy="457200"/>
                  <wp:effectExtent l="0" t="0" r="0" b="0"/>
                  <wp:docPr id="168" name="Picture" descr="规则名称筛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descr="规则名称筛选"/>
                          <pic:cNvPicPr>
                            <a:picLocks noChangeAspect="1" noChangeArrowheads="1"/>
                          </pic:cNvPicPr>
                        </pic:nvPicPr>
                        <pic:blipFill>
                          <a:blip r:embed="rId45"/>
                          <a:stretch>
                            <a:fillRect/>
                          </a:stretch>
                        </pic:blipFill>
                        <pic:spPr>
                          <a:xfrm>
                            <a:off x="0" y="0"/>
                            <a:ext cx="3327400" cy="457200"/>
                          </a:xfrm>
                          <a:prstGeom prst="rect">
                            <a:avLst/>
                          </a:prstGeom>
                          <a:noFill/>
                          <a:ln w="9525">
                            <a:noFill/>
                          </a:ln>
                        </pic:spPr>
                      </pic:pic>
                    </a:graphicData>
                  </a:graphic>
                </wp:inline>
              </w:drawing>
            </w:r>
          </w:p>
        </w:tc>
        <w:tc>
          <w:p w14:paraId="2BF0AF15">
            <w:pPr>
              <w:pStyle w:val="27"/>
            </w:pPr>
            <w:r>
              <w:rPr>
                <w:rFonts w:hint="eastAsia"/>
              </w:rPr>
              <w:t>下拉选择筛查规则，用于切换当前查看的异常行为所属规则名称。</w:t>
            </w:r>
          </w:p>
        </w:tc>
      </w:tr>
      <w:tr w14:paraId="44549940">
        <w:tblPrEx>
          <w:tblCellMar>
            <w:top w:w="0" w:type="dxa"/>
            <w:left w:w="108" w:type="dxa"/>
            <w:bottom w:w="0" w:type="dxa"/>
            <w:right w:w="108" w:type="dxa"/>
          </w:tblCellMar>
        </w:tblPrEx>
        <w:tc>
          <w:p w14:paraId="02A3CD4B">
            <w:pPr>
              <w:pStyle w:val="27"/>
            </w:pPr>
            <w:r>
              <w:drawing>
                <wp:inline distT="0" distB="0" distL="114300" distR="114300">
                  <wp:extent cx="3937000" cy="596900"/>
                  <wp:effectExtent l="0" t="0" r="0" b="0"/>
                  <wp:docPr id="171" name="Picture" descr="数据批次筛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descr="数据批次筛选"/>
                          <pic:cNvPicPr>
                            <a:picLocks noChangeAspect="1" noChangeArrowheads="1"/>
                          </pic:cNvPicPr>
                        </pic:nvPicPr>
                        <pic:blipFill>
                          <a:blip r:embed="rId46"/>
                          <a:stretch>
                            <a:fillRect/>
                          </a:stretch>
                        </pic:blipFill>
                        <pic:spPr>
                          <a:xfrm>
                            <a:off x="0" y="0"/>
                            <a:ext cx="3937000" cy="596900"/>
                          </a:xfrm>
                          <a:prstGeom prst="rect">
                            <a:avLst/>
                          </a:prstGeom>
                          <a:noFill/>
                          <a:ln w="9525">
                            <a:noFill/>
                          </a:ln>
                        </pic:spPr>
                      </pic:pic>
                    </a:graphicData>
                  </a:graphic>
                </wp:inline>
              </w:drawing>
            </w:r>
          </w:p>
        </w:tc>
        <w:tc>
          <w:p w14:paraId="3A300C73">
            <w:pPr>
              <w:pStyle w:val="27"/>
            </w:pPr>
            <w:r>
              <w:rPr>
                <w:rFonts w:hint="eastAsia"/>
              </w:rPr>
              <w:t>下拉选择该规则下历史落地的数据批次。批次名称以落库时间（年月日时分秒）自动命名，下拉列表中展示该规则对应的所有历史落地批次，按时间倒序排列。</w:t>
            </w:r>
          </w:p>
        </w:tc>
      </w:tr>
    </w:tbl>
    <w:p w14:paraId="12FA96AE">
      <w:pPr>
        <w:pStyle w:val="3"/>
      </w:pPr>
      <w:r>
        <w:rPr>
          <w:rFonts w:hint="eastAsia"/>
        </w:rPr>
        <w:t>选中批次后，页面右侧</w:t>
      </w:r>
      <w:r>
        <w:rPr>
          <w:rFonts w:hint="eastAsia"/>
          <w:b/>
          <w:bCs/>
        </w:rPr>
        <w:t>“查询历史参数”</w:t>
      </w:r>
      <w:r>
        <w:rPr>
          <w:rFonts w:hint="eastAsia"/>
        </w:rPr>
        <w:t>区域将</w:t>
      </w:r>
      <w:r>
        <w:rPr>
          <w:rFonts w:hint="eastAsia"/>
          <w:b/>
          <w:bCs/>
        </w:rPr>
        <w:t>动态展示</w:t>
      </w:r>
      <w:r>
        <w:rPr>
          <w:rFonts w:hint="eastAsia"/>
        </w:rPr>
        <w:t>当前选中批次在执行筛查时所传入的参数值（如阈值、时间范围等），便于核对规则配置与执行条件。</w:t>
      </w:r>
    </w:p>
    <w:p w14:paraId="496FA68A">
      <w:pPr>
        <w:pStyle w:val="3"/>
      </w:pPr>
      <w:r>
        <w:drawing>
          <wp:inline distT="0" distB="0" distL="114300" distR="114300">
            <wp:extent cx="5334000" cy="1684020"/>
            <wp:effectExtent l="0" t="0" r="0" b="0"/>
            <wp:docPr id="174" name="Picture" descr="查询历史参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descr="查询历史参数"/>
                    <pic:cNvPicPr>
                      <a:picLocks noChangeAspect="1" noChangeArrowheads="1"/>
                    </pic:cNvPicPr>
                  </pic:nvPicPr>
                  <pic:blipFill>
                    <a:blip r:embed="rId47"/>
                    <a:stretch>
                      <a:fillRect/>
                    </a:stretch>
                  </pic:blipFill>
                  <pic:spPr>
                    <a:xfrm>
                      <a:off x="0" y="0"/>
                      <a:ext cx="5334000" cy="1684165"/>
                    </a:xfrm>
                    <a:prstGeom prst="rect">
                      <a:avLst/>
                    </a:prstGeom>
                    <a:noFill/>
                    <a:ln w="9525">
                      <a:noFill/>
                    </a:ln>
                  </pic:spPr>
                </pic:pic>
              </a:graphicData>
            </a:graphic>
          </wp:inline>
        </w:drawing>
      </w:r>
    </w:p>
    <w:bookmarkEnd w:id="35"/>
    <w:p w14:paraId="58E20844">
      <w:pPr>
        <w:pStyle w:val="5"/>
      </w:pPr>
      <w:bookmarkStart w:id="36" w:name="_Toc13583"/>
      <w:bookmarkStart w:id="37" w:name="外接客户回访"/>
      <w:r>
        <w:rPr>
          <w:rFonts w:hint="eastAsia"/>
        </w:rPr>
        <w:t>4.5、外接客户回访</w:t>
      </w:r>
      <w:bookmarkEnd w:id="36"/>
    </w:p>
    <w:p w14:paraId="51CF97CC">
      <w:pPr>
        <w:pStyle w:val="26"/>
      </w:pPr>
      <w:r>
        <w:rPr>
          <w:rFonts w:hint="eastAsia"/>
        </w:rPr>
        <w:t>本页面用于对已落地筛查结果中触发异常行为的外接客户进行回访管理与记录。通过回访清单的集中管理，协助期货公司完成对疑似异常行为客户的跟踪、核实与处置闭环。</w:t>
      </w:r>
    </w:p>
    <w:p w14:paraId="52341CE9">
      <w:pPr>
        <w:pStyle w:val="3"/>
      </w:pPr>
      <w:r>
        <w:drawing>
          <wp:inline distT="0" distB="0" distL="114300" distR="114300">
            <wp:extent cx="5334000" cy="1402715"/>
            <wp:effectExtent l="0" t="0" r="0" b="0"/>
            <wp:docPr id="178" name="Picture" descr="外接客户回访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descr="外接客户回访列表"/>
                    <pic:cNvPicPr>
                      <a:picLocks noChangeAspect="1" noChangeArrowheads="1"/>
                    </pic:cNvPicPr>
                  </pic:nvPicPr>
                  <pic:blipFill>
                    <a:blip r:embed="rId48"/>
                    <a:stretch>
                      <a:fillRect/>
                    </a:stretch>
                  </pic:blipFill>
                  <pic:spPr>
                    <a:xfrm>
                      <a:off x="0" y="0"/>
                      <a:ext cx="5334000" cy="1403230"/>
                    </a:xfrm>
                    <a:prstGeom prst="rect">
                      <a:avLst/>
                    </a:prstGeom>
                    <a:noFill/>
                    <a:ln w="9525">
                      <a:noFill/>
                    </a:ln>
                  </pic:spPr>
                </pic:pic>
              </a:graphicData>
            </a:graphic>
          </wp:inline>
        </w:drawing>
      </w:r>
    </w:p>
    <w:p w14:paraId="1C534134">
      <w:pPr>
        <w:pStyle w:val="3"/>
      </w:pPr>
      <w:r>
        <w:rPr>
          <w:rFonts w:hint="eastAsia"/>
          <w:b/>
          <w:bCs/>
        </w:rPr>
        <w:t>回访列表数据合并规则说明</w:t>
      </w:r>
    </w:p>
    <w:p w14:paraId="2B099665">
      <w:pPr>
        <w:pStyle w:val="3"/>
      </w:pPr>
      <w:r>
        <w:rPr>
          <w:rFonts w:hint="eastAsia"/>
        </w:rPr>
        <w:t>当同一客户触发</w:t>
      </w:r>
      <w:r>
        <w:rPr>
          <w:rFonts w:hint="eastAsia"/>
          <w:b/>
          <w:bCs/>
        </w:rPr>
        <w:t>多条筛查规则</w:t>
      </w:r>
      <w:r>
        <w:rPr>
          <w:rFonts w:hint="eastAsia"/>
        </w:rPr>
        <w:t>时，系统将根据”回访生成日期”（即添加到回访列表的时间）将该客户的多条记录合并为一条回访清单数据。合并后的记录在列表的</w:t>
      </w:r>
      <w:r>
        <w:rPr>
          <w:rFonts w:hint="eastAsia"/>
          <w:b/>
          <w:bCs/>
        </w:rPr>
        <w:t>“回访原因”</w:t>
      </w:r>
      <w:r>
        <w:rPr>
          <w:rFonts w:hint="eastAsia"/>
        </w:rPr>
        <w:t>字段中集中展示该客户触发的所有规则名称，便于回访人员全面了解该客户的异常行为情况。</w:t>
      </w:r>
    </w:p>
    <w:p w14:paraId="2FFE24C2">
      <w:pPr>
        <w:pStyle w:val="3"/>
      </w:pPr>
      <w:r>
        <w:rPr>
          <w:rFonts w:hint="eastAsia"/>
          <w:b/>
          <w:bCs/>
        </w:rPr>
        <w:t>回访</w:t>
      </w:r>
    </w:p>
    <w:p w14:paraId="6BF50308">
      <w:pPr>
        <w:pStyle w:val="3"/>
      </w:pPr>
      <w:r>
        <w:rPr>
          <w:rFonts w:hint="eastAsia"/>
        </w:rPr>
        <w:t>在回访清单列表中点击目标客户记录后的</w:t>
      </w:r>
      <w:r>
        <w:rPr>
          <w:rFonts w:hint="eastAsia"/>
          <w:b/>
          <w:bCs/>
        </w:rPr>
        <w:t>“回访”</w:t>
      </w:r>
      <w:r>
        <w:rPr>
          <w:rFonts w:hint="eastAsia"/>
        </w:rPr>
        <w:t>按钮，系统弹出回访表单窗口，供用户填写本次回访的详细信息。</w:t>
      </w:r>
    </w:p>
    <w:p w14:paraId="536E5C1C">
      <w:pPr>
        <w:pStyle w:val="3"/>
      </w:pPr>
      <w:r>
        <w:drawing>
          <wp:inline distT="0" distB="0" distL="114300" distR="114300">
            <wp:extent cx="5334000" cy="1757680"/>
            <wp:effectExtent l="0" t="0" r="0" b="0"/>
            <wp:docPr id="181" name="Picture" descr="回访表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descr="回访表单"/>
                    <pic:cNvPicPr>
                      <a:picLocks noChangeAspect="1" noChangeArrowheads="1"/>
                    </pic:cNvPicPr>
                  </pic:nvPicPr>
                  <pic:blipFill>
                    <a:blip r:embed="rId49"/>
                    <a:stretch>
                      <a:fillRect/>
                    </a:stretch>
                  </pic:blipFill>
                  <pic:spPr>
                    <a:xfrm>
                      <a:off x="0" y="0"/>
                      <a:ext cx="5334000" cy="1758050"/>
                    </a:xfrm>
                    <a:prstGeom prst="rect">
                      <a:avLst/>
                    </a:prstGeom>
                    <a:noFill/>
                    <a:ln w="9525">
                      <a:noFill/>
                    </a:ln>
                  </pic:spPr>
                </pic:pic>
              </a:graphicData>
            </a:graphic>
          </wp:inline>
        </w:drawing>
      </w:r>
    </w:p>
    <w:p w14:paraId="4AFB49A2">
      <w:pPr>
        <w:pStyle w:val="13"/>
      </w:pPr>
      <w:r>
        <w:rPr>
          <w:rFonts w:hint="eastAsia"/>
          <w:b/>
          <w:bCs/>
        </w:rPr>
        <w:t>补充说明</w:t>
      </w:r>
    </w:p>
    <w:p w14:paraId="10E178E9">
      <w:pPr>
        <w:pStyle w:val="13"/>
      </w:pPr>
      <w:r>
        <w:rPr>
          <w:rFonts w:hint="eastAsia"/>
        </w:rPr>
        <w:t>回访表单支持</w:t>
      </w:r>
      <w:r>
        <w:rPr>
          <w:rFonts w:hint="eastAsia"/>
          <w:b/>
          <w:bCs/>
        </w:rPr>
        <w:t>灵活配置</w:t>
      </w:r>
      <w:r>
        <w:rPr>
          <w:rFonts w:hint="eastAsia"/>
        </w:rPr>
        <w:t>，期货公司可根据自身业务管理要求对字段、选项、是否必填、附件类型等进行个性化调整。（如有需求请联系德索支持）</w:t>
      </w:r>
    </w:p>
    <w:bookmarkEnd w:id="1"/>
    <w:bookmarkEnd w:id="27"/>
    <w:bookmarkEnd w:id="37"/>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0"/>
    <w:multiLevelType w:val="multilevel"/>
    <w:tmpl w:val="0000A990"/>
    <w:lvl w:ilvl="0" w:tentative="0">
      <w:start w:val="0"/>
      <w:numFmt w:val="bullet"/>
      <w:lvlText w:val=" "/>
      <w:lvlJc w:val="left"/>
      <w:pPr>
        <w:ind w:left="720" w:hanging="360"/>
      </w:pPr>
    </w:lvl>
    <w:lvl w:ilvl="1" w:tentative="0">
      <w:start w:val="0"/>
      <w:numFmt w:val="bullet"/>
      <w:lvlText w:val=" "/>
      <w:lvlJc w:val="left"/>
      <w:pPr>
        <w:ind w:left="1440" w:hanging="360"/>
      </w:pPr>
    </w:lvl>
    <w:lvl w:ilvl="2" w:tentative="0">
      <w:start w:val="0"/>
      <w:numFmt w:val="bullet"/>
      <w:lvlText w:val=" "/>
      <w:lvlJc w:val="left"/>
      <w:pPr>
        <w:ind w:left="2160" w:hanging="360"/>
      </w:pPr>
    </w:lvl>
    <w:lvl w:ilvl="3" w:tentative="0">
      <w:start w:val="0"/>
      <w:numFmt w:val="bullet"/>
      <w:lvlText w:val=" "/>
      <w:lvlJc w:val="left"/>
      <w:pPr>
        <w:ind w:left="2880" w:hanging="360"/>
      </w:pPr>
    </w:lvl>
    <w:lvl w:ilvl="4" w:tentative="0">
      <w:start w:val="0"/>
      <w:numFmt w:val="bullet"/>
      <w:lvlText w:val=" "/>
      <w:lvlJc w:val="left"/>
      <w:pPr>
        <w:ind w:left="3600" w:hanging="360"/>
      </w:pPr>
    </w:lvl>
    <w:lvl w:ilvl="5" w:tentative="0">
      <w:start w:val="0"/>
      <w:numFmt w:val="bullet"/>
      <w:lvlText w:val=" "/>
      <w:lvlJc w:val="left"/>
      <w:pPr>
        <w:ind w:left="4320" w:hanging="360"/>
      </w:pPr>
    </w:lvl>
    <w:lvl w:ilvl="6" w:tentative="0">
      <w:start w:val="0"/>
      <w:numFmt w:val="bullet"/>
      <w:lvlText w:val=" "/>
      <w:lvlJc w:val="left"/>
      <w:pPr>
        <w:ind w:left="5040" w:hanging="360"/>
      </w:pPr>
    </w:lvl>
    <w:lvl w:ilvl="7" w:tentative="0">
      <w:start w:val="0"/>
      <w:numFmt w:val="bullet"/>
      <w:lvlText w:val=" "/>
      <w:lvlJc w:val="left"/>
      <w:pPr>
        <w:ind w:left="5760" w:hanging="360"/>
      </w:pPr>
    </w:lvl>
    <w:lvl w:ilvl="8" w:tentative="0">
      <w:start w:val="0"/>
      <w:numFmt w:val="bullet"/>
      <w:lvlText w:val=" "/>
      <w:lvlJc w:val="left"/>
      <w:pPr>
        <w:ind w:left="6480" w:hanging="360"/>
      </w:pPr>
    </w:lvl>
  </w:abstractNum>
  <w:abstractNum w:abstractNumId="1">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2">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3">
    <w:nsid w:val="00A99421"/>
    <w:multiLevelType w:val="multilevel"/>
    <w:tmpl w:val="00A9942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4">
    <w:nsid w:val="00A99422"/>
    <w:multiLevelType w:val="multilevel"/>
    <w:tmpl w:val="00A99422"/>
    <w:lvl w:ilvl="0" w:tentative="0">
      <w:start w:val="2"/>
      <w:numFmt w:val="decimal"/>
      <w:lvlText w:val="%1)"/>
      <w:lvlJc w:val="left"/>
      <w:pPr>
        <w:ind w:left="720" w:hanging="360"/>
      </w:pPr>
    </w:lvl>
    <w:lvl w:ilvl="1" w:tentative="0">
      <w:start w:val="2"/>
      <w:numFmt w:val="decimal"/>
      <w:lvlText w:val="%2)"/>
      <w:lvlJc w:val="left"/>
      <w:pPr>
        <w:ind w:left="1440" w:hanging="360"/>
      </w:pPr>
    </w:lvl>
    <w:lvl w:ilvl="2" w:tentative="0">
      <w:start w:val="2"/>
      <w:numFmt w:val="decimal"/>
      <w:lvlText w:val="%3)"/>
      <w:lvlJc w:val="left"/>
      <w:pPr>
        <w:ind w:left="2160" w:hanging="360"/>
      </w:pPr>
    </w:lvl>
    <w:lvl w:ilvl="3" w:tentative="0">
      <w:start w:val="2"/>
      <w:numFmt w:val="decimal"/>
      <w:lvlText w:val="%4)"/>
      <w:lvlJc w:val="left"/>
      <w:pPr>
        <w:ind w:left="2880" w:hanging="360"/>
      </w:pPr>
    </w:lvl>
    <w:lvl w:ilvl="4" w:tentative="0">
      <w:start w:val="2"/>
      <w:numFmt w:val="decimal"/>
      <w:lvlText w:val="%5)"/>
      <w:lvlJc w:val="left"/>
      <w:pPr>
        <w:ind w:left="3600" w:hanging="360"/>
      </w:pPr>
    </w:lvl>
    <w:lvl w:ilvl="5" w:tentative="0">
      <w:start w:val="2"/>
      <w:numFmt w:val="decimal"/>
      <w:lvlText w:val="%6)"/>
      <w:lvlJc w:val="left"/>
      <w:pPr>
        <w:ind w:left="4320" w:hanging="360"/>
      </w:pPr>
    </w:lvl>
    <w:lvl w:ilvl="6" w:tentative="0">
      <w:start w:val="2"/>
      <w:numFmt w:val="decimal"/>
      <w:lvlText w:val="%7)"/>
      <w:lvlJc w:val="left"/>
      <w:pPr>
        <w:ind w:left="5040" w:hanging="360"/>
      </w:pPr>
    </w:lvl>
    <w:lvl w:ilvl="7" w:tentative="0">
      <w:start w:val="2"/>
      <w:numFmt w:val="decimal"/>
      <w:lvlText w:val="%8)"/>
      <w:lvlJc w:val="left"/>
      <w:pPr>
        <w:ind w:left="5760" w:hanging="360"/>
      </w:pPr>
    </w:lvl>
    <w:lvl w:ilvl="8" w:tentative="0">
      <w:start w:val="2"/>
      <w:numFmt w:val="decimal"/>
      <w:lvlText w:val="%9)"/>
      <w:lvlJc w:val="left"/>
      <w:pPr>
        <w:ind w:left="6480" w:hanging="360"/>
      </w:pPr>
    </w:lvl>
  </w:abstractNum>
  <w:abstractNum w:abstractNumId="5">
    <w:nsid w:val="00A99423"/>
    <w:multiLevelType w:val="multilevel"/>
    <w:tmpl w:val="00A99423"/>
    <w:lvl w:ilvl="0" w:tentative="0">
      <w:start w:val="3"/>
      <w:numFmt w:val="decimal"/>
      <w:lvlText w:val="%1)"/>
      <w:lvlJc w:val="left"/>
      <w:pPr>
        <w:ind w:left="720" w:hanging="360"/>
      </w:pPr>
    </w:lvl>
    <w:lvl w:ilvl="1" w:tentative="0">
      <w:start w:val="3"/>
      <w:numFmt w:val="decimal"/>
      <w:lvlText w:val="%2)"/>
      <w:lvlJc w:val="left"/>
      <w:pPr>
        <w:ind w:left="1440" w:hanging="360"/>
      </w:pPr>
    </w:lvl>
    <w:lvl w:ilvl="2" w:tentative="0">
      <w:start w:val="3"/>
      <w:numFmt w:val="decimal"/>
      <w:lvlText w:val="%3)"/>
      <w:lvlJc w:val="left"/>
      <w:pPr>
        <w:ind w:left="2160" w:hanging="360"/>
      </w:pPr>
    </w:lvl>
    <w:lvl w:ilvl="3" w:tentative="0">
      <w:start w:val="3"/>
      <w:numFmt w:val="decimal"/>
      <w:lvlText w:val="%4)"/>
      <w:lvlJc w:val="left"/>
      <w:pPr>
        <w:ind w:left="2880" w:hanging="360"/>
      </w:pPr>
    </w:lvl>
    <w:lvl w:ilvl="4" w:tentative="0">
      <w:start w:val="3"/>
      <w:numFmt w:val="decimal"/>
      <w:lvlText w:val="%5)"/>
      <w:lvlJc w:val="left"/>
      <w:pPr>
        <w:ind w:left="3600" w:hanging="360"/>
      </w:pPr>
    </w:lvl>
    <w:lvl w:ilvl="5" w:tentative="0">
      <w:start w:val="3"/>
      <w:numFmt w:val="decimal"/>
      <w:lvlText w:val="%6)"/>
      <w:lvlJc w:val="left"/>
      <w:pPr>
        <w:ind w:left="4320" w:hanging="360"/>
      </w:pPr>
    </w:lvl>
    <w:lvl w:ilvl="6" w:tentative="0">
      <w:start w:val="3"/>
      <w:numFmt w:val="decimal"/>
      <w:lvlText w:val="%7)"/>
      <w:lvlJc w:val="left"/>
      <w:pPr>
        <w:ind w:left="5040" w:hanging="360"/>
      </w:pPr>
    </w:lvl>
    <w:lvl w:ilvl="7" w:tentative="0">
      <w:start w:val="3"/>
      <w:numFmt w:val="decimal"/>
      <w:lvlText w:val="%8)"/>
      <w:lvlJc w:val="left"/>
      <w:pPr>
        <w:ind w:left="5760" w:hanging="360"/>
      </w:pPr>
    </w:lvl>
    <w:lvl w:ilvl="8" w:tentative="0">
      <w:start w:val="3"/>
      <w:numFmt w:val="decimal"/>
      <w:lvlText w:val="%9)"/>
      <w:lvlJc w:val="left"/>
      <w:pPr>
        <w:ind w:left="6480" w:hanging="36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splitPgBreakAndParaMark/>
    <w:compatSetting w:name="compatibilityMode" w:uri="http://schemas.microsoft.com/office/word" w:val="12"/>
  </w:compat>
  <w:rsids>
    <w:rsidRoot w:val="00000000"/>
    <w:rsid w:val="214A24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4"/>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5"/>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6"/>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7"/>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8"/>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9"/>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0"/>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1"/>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2"/>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2">
    <w:name w:val="Default Paragraph Font"/>
    <w:semiHidden/>
    <w:unhideWhenUsed/>
    <w:uiPriority w:val="0"/>
  </w:style>
  <w:style w:type="table" w:default="1" w:styleId="21">
    <w:name w:val="Normal Table"/>
    <w:uiPriority w:val="0"/>
    <w:tblPr>
      <w:tblCellMar>
        <w:top w:w="0" w:type="dxa"/>
        <w:left w:w="108" w:type="dxa"/>
        <w:bottom w:w="0" w:type="dxa"/>
        <w:right w:w="108" w:type="dxa"/>
      </w:tblCellMar>
    </w:tblPr>
  </w:style>
  <w:style w:type="paragraph" w:styleId="3">
    <w:name w:val="Body Text"/>
    <w:basedOn w:val="1"/>
    <w:link w:val="24"/>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toc 3"/>
    <w:basedOn w:val="1"/>
    <w:next w:val="1"/>
    <w:uiPriority w:val="0"/>
    <w:pPr>
      <w:ind w:left="840" w:leftChars="400"/>
    </w:pPr>
  </w:style>
  <w:style w:type="paragraph" w:styleId="15">
    <w:name w:val="Date"/>
    <w:basedOn w:val="16"/>
    <w:next w:val="3"/>
    <w:qFormat/>
    <w:uiPriority w:val="0"/>
    <w:pPr>
      <w:keepNext/>
      <w:keepLines/>
    </w:pPr>
    <w:rPr>
      <w:sz w:val="24"/>
      <w:szCs w:val="24"/>
    </w:rPr>
  </w:style>
  <w:style w:type="paragraph" w:styleId="16">
    <w:name w:val="Title"/>
    <w:basedOn w:val="1"/>
    <w:next w:val="3"/>
    <w:link w:val="28"/>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7">
    <w:name w:val="toc 1"/>
    <w:basedOn w:val="1"/>
    <w:next w:val="1"/>
    <w:uiPriority w:val="0"/>
  </w:style>
  <w:style w:type="paragraph" w:styleId="18">
    <w:name w:val="Subtitle"/>
    <w:basedOn w:val="16"/>
    <w:next w:val="3"/>
    <w:link w:val="29"/>
    <w:qFormat/>
    <w:uiPriority w:val="11"/>
    <w:rPr>
      <w:rFonts w:eastAsiaTheme="majorEastAsia" w:cstheme="majorBidi"/>
      <w:spacing w:val="15"/>
      <w:sz w:val="28"/>
      <w:szCs w:val="28"/>
    </w:rPr>
  </w:style>
  <w:style w:type="paragraph" w:styleId="19">
    <w:name w:val="footnote text"/>
    <w:basedOn w:val="1"/>
    <w:unhideWhenUsed/>
    <w:qFormat/>
    <w:uiPriority w:val="9"/>
  </w:style>
  <w:style w:type="paragraph" w:styleId="20">
    <w:name w:val="toc 2"/>
    <w:basedOn w:val="1"/>
    <w:next w:val="1"/>
    <w:uiPriority w:val="0"/>
    <w:pPr>
      <w:ind w:left="420" w:leftChars="200"/>
    </w:pPr>
  </w:style>
  <w:style w:type="character" w:styleId="23">
    <w:name w:val="Hyperlink"/>
    <w:basedOn w:val="24"/>
    <w:uiPriority w:val="0"/>
    <w:rPr>
      <w:color w:val="156082" w:themeColor="accent1"/>
    </w:rPr>
  </w:style>
  <w:style w:type="character" w:customStyle="1" w:styleId="24">
    <w:name w:val="Body Text Char"/>
    <w:basedOn w:val="22"/>
    <w:link w:val="3"/>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character" w:customStyle="1" w:styleId="28">
    <w:name w:val="Title Char"/>
    <w:basedOn w:val="22"/>
    <w:link w:val="16"/>
    <w:uiPriority w:val="10"/>
    <w:rPr>
      <w:rFonts w:asciiTheme="majorHAnsi" w:hAnsiTheme="majorHAnsi" w:eastAsiaTheme="majorEastAsia" w:cstheme="majorBidi"/>
      <w:sz w:val="56"/>
      <w:szCs w:val="56"/>
    </w:rPr>
  </w:style>
  <w:style w:type="character" w:customStyle="1" w:styleId="29">
    <w:name w:val="Subtitle Char"/>
    <w:basedOn w:val="22"/>
    <w:link w:val="18"/>
    <w:uiPriority w:val="11"/>
    <w:rPr>
      <w:rFonts w:eastAsiaTheme="majorEastAsia" w:cstheme="majorBidi"/>
      <w:color w:val="585858" w:themeColor="text1" w:themeTint="A6"/>
      <w:spacing w:val="15"/>
      <w:sz w:val="28"/>
      <w:szCs w:val="28"/>
    </w:rPr>
  </w:style>
  <w:style w:type="paragraph" w:customStyle="1" w:styleId="30">
    <w:name w:val="Author"/>
    <w:basedOn w:val="16"/>
    <w:next w:val="3"/>
    <w:qFormat/>
    <w:uiPriority w:val="0"/>
    <w:pPr>
      <w:keepNext/>
      <w:keepLines/>
    </w:pPr>
    <w:rPr>
      <w:sz w:val="24"/>
      <w:szCs w:val="24"/>
    </w:rPr>
  </w:style>
  <w:style w:type="paragraph" w:customStyle="1" w:styleId="31">
    <w:name w:val="Abstract Title"/>
    <w:basedOn w:val="1"/>
    <w:next w:val="32"/>
    <w:qFormat/>
    <w:uiPriority w:val="0"/>
    <w:pPr>
      <w:keepNext/>
      <w:keepLines/>
      <w:spacing w:before="300" w:after="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Heading 1 Char"/>
    <w:basedOn w:val="22"/>
    <w:link w:val="2"/>
    <w:uiPriority w:val="9"/>
    <w:rPr>
      <w:rFonts w:asciiTheme="majorHAnsi" w:hAnsiTheme="majorHAnsi" w:eastAsiaTheme="majorEastAsia" w:cstheme="majorBidi"/>
      <w:color w:val="0F4761" w:themeColor="accent1" w:themeShade="BF"/>
      <w:sz w:val="40"/>
      <w:szCs w:val="40"/>
    </w:rPr>
  </w:style>
  <w:style w:type="character" w:customStyle="1" w:styleId="35">
    <w:name w:val="Heading 2 Char"/>
    <w:basedOn w:val="22"/>
    <w:link w:val="4"/>
    <w:semiHidden/>
    <w:uiPriority w:val="9"/>
    <w:rPr>
      <w:rFonts w:asciiTheme="majorHAnsi" w:hAnsiTheme="majorHAnsi" w:eastAsiaTheme="majorEastAsia" w:cstheme="majorBidi"/>
      <w:color w:val="0F4761" w:themeColor="accent1" w:themeShade="BF"/>
      <w:sz w:val="32"/>
      <w:szCs w:val="32"/>
    </w:rPr>
  </w:style>
  <w:style w:type="character" w:customStyle="1" w:styleId="36">
    <w:name w:val="Heading 3 Char"/>
    <w:basedOn w:val="22"/>
    <w:link w:val="5"/>
    <w:semiHidden/>
    <w:uiPriority w:val="9"/>
    <w:rPr>
      <w:rFonts w:eastAsiaTheme="majorEastAsia" w:cstheme="majorBidi"/>
      <w:color w:val="0F4761" w:themeColor="accent1" w:themeShade="BF"/>
      <w:sz w:val="28"/>
      <w:szCs w:val="28"/>
    </w:rPr>
  </w:style>
  <w:style w:type="character" w:customStyle="1" w:styleId="37">
    <w:name w:val="Heading 4 Char"/>
    <w:basedOn w:val="22"/>
    <w:link w:val="6"/>
    <w:semiHidden/>
    <w:uiPriority w:val="9"/>
    <w:rPr>
      <w:rFonts w:eastAsiaTheme="majorEastAsia" w:cstheme="majorBidi"/>
      <w:i/>
      <w:iCs/>
      <w:color w:val="0F4761" w:themeColor="accent1" w:themeShade="BF"/>
    </w:rPr>
  </w:style>
  <w:style w:type="character" w:customStyle="1" w:styleId="38">
    <w:name w:val="Heading 5 Char"/>
    <w:basedOn w:val="22"/>
    <w:link w:val="7"/>
    <w:semiHidden/>
    <w:uiPriority w:val="9"/>
    <w:rPr>
      <w:rFonts w:eastAsiaTheme="majorEastAsia" w:cstheme="majorBidi"/>
      <w:color w:val="0F4761" w:themeColor="accent1" w:themeShade="BF"/>
    </w:rPr>
  </w:style>
  <w:style w:type="character" w:customStyle="1" w:styleId="39">
    <w:name w:val="Heading 6 Char"/>
    <w:basedOn w:val="22"/>
    <w:link w:val="8"/>
    <w:semiHidden/>
    <w:uiPriority w:val="9"/>
    <w:rPr>
      <w:rFonts w:eastAsiaTheme="majorEastAsia" w:cstheme="majorBidi"/>
      <w:i/>
      <w:iCs/>
      <w:color w:val="585858" w:themeColor="text1" w:themeTint="A6"/>
    </w:rPr>
  </w:style>
  <w:style w:type="character" w:customStyle="1" w:styleId="40">
    <w:name w:val="Heading 7 Char"/>
    <w:basedOn w:val="22"/>
    <w:link w:val="9"/>
    <w:semiHidden/>
    <w:uiPriority w:val="9"/>
    <w:rPr>
      <w:rFonts w:eastAsiaTheme="majorEastAsia" w:cstheme="majorBidi"/>
      <w:color w:val="585858" w:themeColor="text1" w:themeTint="A6"/>
    </w:rPr>
  </w:style>
  <w:style w:type="character" w:customStyle="1" w:styleId="41">
    <w:name w:val="Heading 8 Char"/>
    <w:basedOn w:val="22"/>
    <w:link w:val="10"/>
    <w:semiHidden/>
    <w:uiPriority w:val="9"/>
    <w:rPr>
      <w:rFonts w:eastAsiaTheme="majorEastAsia" w:cstheme="majorBidi"/>
      <w:i/>
      <w:iCs/>
      <w:color w:val="262626" w:themeColor="text1" w:themeTint="D8"/>
    </w:rPr>
  </w:style>
  <w:style w:type="character" w:customStyle="1" w:styleId="42">
    <w:name w:val="Heading 9 Char"/>
    <w:basedOn w:val="22"/>
    <w:link w:val="11"/>
    <w:semiHidden/>
    <w:uiPriority w:val="9"/>
    <w:rPr>
      <w:rFonts w:eastAsiaTheme="majorEastAsia" w:cstheme="majorBidi"/>
      <w:color w:val="262626" w:themeColor="text1" w:themeTint="D8"/>
    </w:rPr>
  </w:style>
  <w:style w:type="paragraph" w:customStyle="1" w:styleId="43">
    <w:name w:val="Footnote Block Text"/>
    <w:basedOn w:val="19"/>
    <w:next w:val="19"/>
    <w:unhideWhenUsed/>
    <w:qFormat/>
    <w:uiPriority w:val="9"/>
    <w:pPr>
      <w:spacing w:before="100" w:after="100"/>
      <w:ind w:left="480" w:right="480" w:firstLine="0"/>
    </w:pPr>
  </w:style>
  <w:style w:type="table" w:customStyle="1" w:styleId="44">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45">
    <w:name w:val="Definition Term"/>
    <w:basedOn w:val="1"/>
    <w:next w:val="46"/>
    <w:uiPriority w:val="0"/>
    <w:pPr>
      <w:keepNext/>
      <w:keepLines/>
      <w:spacing w:after="0"/>
    </w:pPr>
    <w:rPr>
      <w:b/>
    </w:rPr>
  </w:style>
  <w:style w:type="paragraph" w:customStyle="1" w:styleId="46">
    <w:name w:val="Definition"/>
    <w:basedOn w:val="1"/>
    <w:uiPriority w:val="0"/>
  </w:style>
  <w:style w:type="paragraph" w:customStyle="1" w:styleId="47">
    <w:name w:val="Table Caption"/>
    <w:basedOn w:val="12"/>
    <w:uiPriority w:val="0"/>
    <w:pPr>
      <w:keepNext/>
    </w:pPr>
  </w:style>
  <w:style w:type="paragraph" w:customStyle="1" w:styleId="48">
    <w:name w:val="Image Caption"/>
    <w:basedOn w:val="12"/>
    <w:uiPriority w:val="0"/>
  </w:style>
  <w:style w:type="paragraph" w:customStyle="1" w:styleId="49">
    <w:name w:val="Figure"/>
    <w:basedOn w:val="1"/>
    <w:qFormat/>
    <w:uiPriority w:val="0"/>
  </w:style>
  <w:style w:type="paragraph" w:customStyle="1" w:styleId="50">
    <w:name w:val="Captioned Figure"/>
    <w:basedOn w:val="49"/>
    <w:uiPriority w:val="0"/>
    <w:pPr>
      <w:keepNext/>
    </w:pPr>
  </w:style>
  <w:style w:type="character" w:customStyle="1" w:styleId="51">
    <w:name w:val="Verbatim Char"/>
    <w:basedOn w:val="24"/>
    <w:link w:val="52"/>
    <w:uiPriority w:val="0"/>
    <w:rPr>
      <w:rFonts w:ascii="Consolas" w:hAnsi="Consolas"/>
      <w:sz w:val="22"/>
    </w:rPr>
  </w:style>
  <w:style w:type="paragraph" w:customStyle="1" w:styleId="52">
    <w:name w:val="Source Code"/>
    <w:basedOn w:val="1"/>
    <w:link w:val="51"/>
    <w:qFormat/>
    <w:uiPriority w:val="0"/>
    <w:pPr>
      <w:wordWrap w:val="0"/>
    </w:pPr>
  </w:style>
  <w:style w:type="character" w:customStyle="1" w:styleId="53">
    <w:name w:val="Section Number"/>
    <w:basedOn w:val="24"/>
    <w:qFormat/>
    <w:uiPriority w:val="0"/>
  </w:style>
  <w:style w:type="paragraph" w:customStyle="1" w:styleId="54">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5">
    <w:name w:val="KeywordTok"/>
    <w:basedOn w:val="51"/>
    <w:qFormat/>
    <w:uiPriority w:val="0"/>
    <w:rPr>
      <w:b/>
      <w:color w:val="007020"/>
    </w:rPr>
  </w:style>
  <w:style w:type="character" w:customStyle="1" w:styleId="56">
    <w:name w:val="DataTypeTok"/>
    <w:basedOn w:val="51"/>
    <w:uiPriority w:val="0"/>
    <w:rPr>
      <w:color w:val="902000"/>
    </w:rPr>
  </w:style>
  <w:style w:type="character" w:customStyle="1" w:styleId="57">
    <w:name w:val="DecValTok"/>
    <w:basedOn w:val="51"/>
    <w:uiPriority w:val="0"/>
    <w:rPr>
      <w:color w:val="40A070"/>
    </w:rPr>
  </w:style>
  <w:style w:type="character" w:customStyle="1" w:styleId="58">
    <w:name w:val="BaseNTok"/>
    <w:basedOn w:val="51"/>
    <w:uiPriority w:val="0"/>
    <w:rPr>
      <w:color w:val="40A070"/>
    </w:rPr>
  </w:style>
  <w:style w:type="character" w:customStyle="1" w:styleId="59">
    <w:name w:val="FloatTok"/>
    <w:basedOn w:val="51"/>
    <w:qFormat/>
    <w:uiPriority w:val="0"/>
    <w:rPr>
      <w:color w:val="40A070"/>
    </w:rPr>
  </w:style>
  <w:style w:type="character" w:customStyle="1" w:styleId="60">
    <w:name w:val="ConstantTok"/>
    <w:basedOn w:val="51"/>
    <w:uiPriority w:val="0"/>
    <w:rPr>
      <w:color w:val="880000"/>
    </w:rPr>
  </w:style>
  <w:style w:type="character" w:customStyle="1" w:styleId="61">
    <w:name w:val="CharTok"/>
    <w:basedOn w:val="51"/>
    <w:uiPriority w:val="0"/>
    <w:rPr>
      <w:color w:val="4070A0"/>
    </w:rPr>
  </w:style>
  <w:style w:type="character" w:customStyle="1" w:styleId="62">
    <w:name w:val="SpecialCharTok"/>
    <w:basedOn w:val="51"/>
    <w:uiPriority w:val="0"/>
    <w:rPr>
      <w:color w:val="4070A0"/>
    </w:rPr>
  </w:style>
  <w:style w:type="character" w:customStyle="1" w:styleId="63">
    <w:name w:val="StringTok"/>
    <w:basedOn w:val="51"/>
    <w:uiPriority w:val="0"/>
    <w:rPr>
      <w:color w:val="4070A0"/>
    </w:rPr>
  </w:style>
  <w:style w:type="character" w:customStyle="1" w:styleId="64">
    <w:name w:val="VerbatimStringTok"/>
    <w:basedOn w:val="51"/>
    <w:uiPriority w:val="0"/>
    <w:rPr>
      <w:color w:val="4070A0"/>
    </w:rPr>
  </w:style>
  <w:style w:type="character" w:customStyle="1" w:styleId="65">
    <w:name w:val="SpecialStringTok"/>
    <w:basedOn w:val="51"/>
    <w:uiPriority w:val="0"/>
    <w:rPr>
      <w:color w:val="BB6688"/>
    </w:rPr>
  </w:style>
  <w:style w:type="character" w:customStyle="1" w:styleId="66">
    <w:name w:val="ImportTok"/>
    <w:basedOn w:val="51"/>
    <w:uiPriority w:val="0"/>
    <w:rPr>
      <w:b/>
      <w:color w:val="008000"/>
    </w:rPr>
  </w:style>
  <w:style w:type="character" w:customStyle="1" w:styleId="67">
    <w:name w:val="CommentTok"/>
    <w:basedOn w:val="51"/>
    <w:uiPriority w:val="0"/>
    <w:rPr>
      <w:i/>
      <w:color w:val="60A0B0"/>
    </w:rPr>
  </w:style>
  <w:style w:type="character" w:customStyle="1" w:styleId="68">
    <w:name w:val="DocumentationTok"/>
    <w:basedOn w:val="51"/>
    <w:qFormat/>
    <w:uiPriority w:val="0"/>
    <w:rPr>
      <w:i/>
      <w:color w:val="BA2121"/>
    </w:rPr>
  </w:style>
  <w:style w:type="character" w:customStyle="1" w:styleId="69">
    <w:name w:val="AnnotationTok"/>
    <w:basedOn w:val="51"/>
    <w:uiPriority w:val="0"/>
    <w:rPr>
      <w:b/>
      <w:i/>
      <w:color w:val="60A0B0"/>
    </w:rPr>
  </w:style>
  <w:style w:type="character" w:customStyle="1" w:styleId="70">
    <w:name w:val="CommentVarTok"/>
    <w:basedOn w:val="51"/>
    <w:uiPriority w:val="0"/>
    <w:rPr>
      <w:b/>
      <w:i/>
      <w:color w:val="60A0B0"/>
    </w:rPr>
  </w:style>
  <w:style w:type="character" w:customStyle="1" w:styleId="71">
    <w:name w:val="OtherTok"/>
    <w:basedOn w:val="51"/>
    <w:uiPriority w:val="0"/>
    <w:rPr>
      <w:color w:val="007020"/>
    </w:rPr>
  </w:style>
  <w:style w:type="character" w:customStyle="1" w:styleId="72">
    <w:name w:val="FunctionTok"/>
    <w:basedOn w:val="51"/>
    <w:uiPriority w:val="0"/>
    <w:rPr>
      <w:color w:val="06287E"/>
    </w:rPr>
  </w:style>
  <w:style w:type="character" w:customStyle="1" w:styleId="73">
    <w:name w:val="VariableTok"/>
    <w:basedOn w:val="51"/>
    <w:uiPriority w:val="0"/>
    <w:rPr>
      <w:color w:val="19177C"/>
    </w:rPr>
  </w:style>
  <w:style w:type="character" w:customStyle="1" w:styleId="74">
    <w:name w:val="ControlFlowTok"/>
    <w:basedOn w:val="51"/>
    <w:qFormat/>
    <w:uiPriority w:val="0"/>
    <w:rPr>
      <w:b/>
      <w:color w:val="007020"/>
    </w:rPr>
  </w:style>
  <w:style w:type="character" w:customStyle="1" w:styleId="75">
    <w:name w:val="OperatorTok"/>
    <w:basedOn w:val="51"/>
    <w:uiPriority w:val="0"/>
    <w:rPr>
      <w:color w:val="666666"/>
    </w:rPr>
  </w:style>
  <w:style w:type="character" w:customStyle="1" w:styleId="76">
    <w:name w:val="BuiltInTok"/>
    <w:basedOn w:val="51"/>
    <w:uiPriority w:val="0"/>
    <w:rPr>
      <w:color w:val="008000"/>
    </w:rPr>
  </w:style>
  <w:style w:type="character" w:customStyle="1" w:styleId="77">
    <w:name w:val="ExtensionTok"/>
    <w:basedOn w:val="51"/>
    <w:uiPriority w:val="0"/>
  </w:style>
  <w:style w:type="character" w:customStyle="1" w:styleId="78">
    <w:name w:val="PreprocessorTok"/>
    <w:basedOn w:val="51"/>
    <w:uiPriority w:val="0"/>
    <w:rPr>
      <w:color w:val="BC7A00"/>
    </w:rPr>
  </w:style>
  <w:style w:type="character" w:customStyle="1" w:styleId="79">
    <w:name w:val="AttributeTok"/>
    <w:basedOn w:val="51"/>
    <w:uiPriority w:val="0"/>
    <w:rPr>
      <w:color w:val="7D9029"/>
    </w:rPr>
  </w:style>
  <w:style w:type="character" w:customStyle="1" w:styleId="80">
    <w:name w:val="RegionMarkerTok"/>
    <w:basedOn w:val="51"/>
    <w:uiPriority w:val="0"/>
  </w:style>
  <w:style w:type="character" w:customStyle="1" w:styleId="81">
    <w:name w:val="InformationTok"/>
    <w:basedOn w:val="51"/>
    <w:uiPriority w:val="0"/>
    <w:rPr>
      <w:b/>
      <w:i/>
      <w:color w:val="60A0B0"/>
    </w:rPr>
  </w:style>
  <w:style w:type="character" w:customStyle="1" w:styleId="82">
    <w:name w:val="WarningTok"/>
    <w:basedOn w:val="51"/>
    <w:uiPriority w:val="0"/>
    <w:rPr>
      <w:b/>
      <w:i/>
      <w:color w:val="60A0B0"/>
    </w:rPr>
  </w:style>
  <w:style w:type="character" w:customStyle="1" w:styleId="83">
    <w:name w:val="AlertTok"/>
    <w:basedOn w:val="51"/>
    <w:uiPriority w:val="0"/>
    <w:rPr>
      <w:b/>
      <w:color w:val="FF0000"/>
    </w:rPr>
  </w:style>
  <w:style w:type="character" w:customStyle="1" w:styleId="84">
    <w:name w:val="ErrorTok"/>
    <w:basedOn w:val="51"/>
    <w:uiPriority w:val="0"/>
    <w:rPr>
      <w:b/>
      <w:color w:val="FF0000"/>
    </w:rPr>
  </w:style>
  <w:style w:type="character" w:customStyle="1" w:styleId="85">
    <w:name w:val="NormalTok"/>
    <w:basedOn w:val="5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83</Words>
  <Characters>475</Characters>
  <Lines>12</Lines>
  <Paragraphs>8</Paragraphs>
  <TotalTime>0</TotalTime>
  <ScaleCrop>false</ScaleCrop>
  <LinksUpToDate>false</LinksUpToDate>
  <CharactersWithSpaces>583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2026-07-08T05:21:00Z</dcterms:created>
  <dc:creator>AI自强大叔</dc:creator>
  <cp:lastModifiedBy>AI自强大叔</cp:lastModifiedBy>
  <dcterms:modified xsi:type="dcterms:W3CDTF">2026-07-08T05:21:06Z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目录</vt:lpwstr>
  </property>
  <property fmtid="{D5CDD505-2E9C-101B-9397-08002B2CF9AE}" pid="3" name="KSOProductBuildVer">
    <vt:lpwstr>2052-12.1.0.26895</vt:lpwstr>
  </property>
  <property fmtid="{D5CDD505-2E9C-101B-9397-08002B2CF9AE}" pid="4" name="ICV">
    <vt:lpwstr>CC7B6F78F2A64FBD9F92840F9BBB5458_12</vt:lpwstr>
  </property>
</Properties>
</file>